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Bettencourt</w:t>
      </w:r>
      <w:r xml:space="preserve">
        <w:tab wTab="150" tlc="none" cTlc="0"/>
      </w:r>
      <w:r>
        <w:t xml:space="preserve">S.B.</w:t>
      </w:r>
      <w:r xml:space="preserve">
        <w:t> </w:t>
      </w:r>
      <w:r>
        <w:t xml:space="preserve">No.</w:t>
      </w:r>
      <w:r xml:space="preserve">
        <w:t> </w:t>
      </w:r>
      <w:r>
        <w:t xml:space="preserve">522</w:t>
      </w:r>
    </w:p>
    <w:p w:rsidR="003F3435" w:rsidRDefault="0032493E">
      <w:pPr>
        <w:spacing w:line="480" w:lineRule="auto"/>
        <w:ind w:firstLine="720"/>
        <w:jc w:val="both"/>
      </w:pPr>
      <w:r>
        <w:t xml:space="preserve">(In the Senate</w:t>
      </w:r>
      <w:r xml:space="preserve">
        <w:t> </w:t>
      </w:r>
      <w:r>
        <w:t xml:space="preserve">-</w:t>
      </w:r>
      <w:r xml:space="preserve">
        <w:t> </w:t>
      </w:r>
      <w:r>
        <w:t xml:space="preserve">Filed December</w:t>
      </w:r>
      <w:r xml:space="preserve">
        <w:t> </w:t>
      </w:r>
      <w:r>
        <w:t xml:space="preserve">2,</w:t>
      </w:r>
      <w:r xml:space="preserve">
        <w:t> </w:t>
      </w:r>
      <w:r>
        <w:t xml:space="preserve">2024; February</w:t>
      </w:r>
      <w:r xml:space="preserve">
        <w:t> </w:t>
      </w:r>
      <w:r>
        <w:t xml:space="preserve">3,</w:t>
      </w:r>
      <w:r xml:space="preserve">
        <w:t> </w:t>
      </w:r>
      <w:r>
        <w:t xml:space="preserve">2025, read first time and referred to Committee on Business &amp; Commerce; March</w:t>
      </w:r>
      <w:r xml:space="preserve">
        <w:t> </w:t>
      </w:r>
      <w:r>
        <w:t xml:space="preserve">31,</w:t>
      </w:r>
      <w:r xml:space="preserve">
        <w:t> </w:t>
      </w:r>
      <w:r>
        <w:t xml:space="preserve">2025, reported adversely, with favorable Committee Substitute by the following vote:</w:t>
      </w:r>
      <w:r>
        <w:t xml:space="preserve"> </w:t>
      </w:r>
      <w:r>
        <w:t xml:space="preserve"> </w:t>
      </w:r>
      <w:r>
        <w:t xml:space="preserve">Yeas 10, Nays 0; March</w:t>
      </w:r>
      <w:r xml:space="preserve">
        <w:t> </w:t>
      </w:r>
      <w:r>
        <w:t xml:space="preserve">31,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522</w:t>
      </w:r>
      <w:r xml:space="preserve">
        <w:tab wTab="150" tlc="none" cTlc="0"/>
      </w:r>
      <w:r>
        <w:t xml:space="preserve">By:</w:t>
      </w:r>
      <w:r xml:space="preserve">
        <w:t> </w:t>
      </w:r>
      <w:r xml:space="preserve">
        <w:t> </w:t>
      </w:r>
      <w:r>
        <w:t xml:space="preserve">Nichols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certification and regulation of certain out-of-state certified public accountants.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901.259(a),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The board shall issue a certificate to a person who holds a certificate or license issued by another state if the person:</w:t>
      </w:r>
    </w:p>
    <w:p w:rsidR="003F3435" w:rsidRDefault="0032493E">
      <w:pPr>
        <w:spacing w:line="480" w:lineRule="auto"/>
        <w:ind w:firstLine="1440"/>
        <w:jc w:val="both"/>
      </w:pPr>
      <w:r>
        <w:t xml:space="preserve">(1)</w:t>
      </w:r>
      <w:r xml:space="preserve">
        <w:t> </w:t>
      </w:r>
      <w:r xml:space="preserve">
        <w:t> </w:t>
      </w:r>
      <w:r>
        <w:t xml:space="preserve">satisfies at least one of the following:</w:t>
      </w:r>
    </w:p>
    <w:p w:rsidR="003F3435" w:rsidRDefault="0032493E">
      <w:pPr>
        <w:spacing w:line="480" w:lineRule="auto"/>
        <w:ind w:firstLine="2160"/>
        <w:jc w:val="both"/>
      </w:pPr>
      <w:r>
        <w:t xml:space="preserve">(A)</w:t>
      </w:r>
      <w:r xml:space="preserve">
        <w:t> </w:t>
      </w:r>
      <w:r xml:space="preserve">
        <w:t> </w:t>
      </w:r>
      <w:r>
        <w:t xml:space="preserve">[</w:t>
      </w:r>
      <w:r>
        <w:rPr>
          <w:strike/>
        </w:rPr>
        <w:t xml:space="preserve">holds a certificate or license as a certified public accountant from a state that the National Association of State Boards of Accountancy's National Qualification Appraisal Service has verified as having education, examination, and experience requirements for certification or licensure that are comparable to or exceed the requirements for licensure as a certified public accountant of The American Institute of Certified Public Accountants/National Association of State Boards of Accountancy Uniform Accountancy Act and the board determines that the licensure requirements of that Act are comparable to or exceed the licensure requirements of this chapter;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obtains from the National Association of State Boards of Accountancy's National Qualification Appraisal Service verification that the individual's education, examination, and experience qualifications are comparable to or exceed the requirements for licensure as a certified public accountant of The American Institute of Certified Public Accountants/National Association of State Boards of Accountancy Uniform Accountancy Act and the board determines that the licensure requirements of that Act are comparable to or exceed the licensure requirements of this chapter;</w:t>
      </w:r>
    </w:p>
    <w:p w:rsidR="003F3435" w:rsidRDefault="0032493E">
      <w:pPr>
        <w:spacing w:line="480" w:lineRule="auto"/>
        <w:ind w:firstLine="2160"/>
        <w:jc w:val="both"/>
      </w:pPr>
      <w:r>
        <w:t xml:space="preserve">[</w:t>
      </w:r>
      <w:r>
        <w:rPr>
          <w:strike/>
        </w:rPr>
        <w:t xml:space="preserve">(C)</w:t>
      </w:r>
      <w:r>
        <w:t xml:space="preserve">] meets the requirements for issuance of a certificate in this state other than the requirement providing the grades necessary to pass the uniform CPA examination;</w:t>
      </w:r>
    </w:p>
    <w:p w:rsidR="003F3435" w:rsidRDefault="0032493E">
      <w:pPr>
        <w:spacing w:line="480" w:lineRule="auto"/>
        <w:ind w:firstLine="2160"/>
        <w:jc w:val="both"/>
      </w:pPr>
      <w:r>
        <w:rPr>
          <w:u w:val="single"/>
        </w:rPr>
        <w:t xml:space="preserve">(B)</w:t>
      </w:r>
      <w:r xml:space="preserve">
        <w:t> </w:t>
      </w:r>
      <w:r>
        <w:t xml:space="preserve">[</w:t>
      </w:r>
      <w:r>
        <w:rPr>
          <w:strike/>
        </w:rPr>
        <w:t xml:space="preserve">(D)</w:t>
      </w:r>
      <w:r>
        <w:t xml:space="preserve">]</w:t>
      </w:r>
      <w:r xml:space="preserve">
        <w:t> </w:t>
      </w:r>
      <w:r xml:space="preserve">
        <w:t> </w:t>
      </w:r>
      <w:r>
        <w:t xml:space="preserve">met the requirements in effect for issuance of a certificate in this state on the date the person was issued a certificate by the other state; or</w:t>
      </w:r>
    </w:p>
    <w:p w:rsidR="003F3435" w:rsidRDefault="0032493E">
      <w:pPr>
        <w:spacing w:line="480" w:lineRule="auto"/>
        <w:ind w:firstLine="2160"/>
        <w:jc w:val="both"/>
      </w:pPr>
      <w:r>
        <w:rPr>
          <w:u w:val="single"/>
        </w:rPr>
        <w:t xml:space="preserve">(C)</w:t>
      </w:r>
      <w:r xml:space="preserve">
        <w:t> </w:t>
      </w:r>
      <w:r>
        <w:t xml:space="preserve">[</w:t>
      </w:r>
      <w:r>
        <w:rPr>
          <w:strike/>
        </w:rPr>
        <w:t xml:space="preserve">(E)</w:t>
      </w:r>
      <w:r>
        <w:t xml:space="preserve">]</w:t>
      </w:r>
      <w:r xml:space="preserve">
        <w:t> </w:t>
      </w:r>
      <w:r xml:space="preserve">
        <w:t> </w:t>
      </w:r>
      <w:r>
        <w:t xml:space="preserve">has completed at least four years of experience practicing public accountancy, if the experience:</w:t>
      </w:r>
    </w:p>
    <w:p w:rsidR="003F3435" w:rsidRDefault="0032493E">
      <w:pPr>
        <w:spacing w:line="480" w:lineRule="auto"/>
        <w:ind w:firstLine="2880"/>
        <w:jc w:val="both"/>
      </w:pPr>
      <w:r>
        <w:t xml:space="preserve">(i)</w:t>
      </w:r>
      <w:r xml:space="preserve">
        <w:t> </w:t>
      </w:r>
      <w:r xml:space="preserve">
        <w:t> </w:t>
      </w:r>
      <w:r>
        <w:t xml:space="preserve">occurred after the person passed the uniform CPA examination and within the 10 years preceding the date of application; and</w:t>
      </w:r>
    </w:p>
    <w:p w:rsidR="003F3435" w:rsidRDefault="0032493E">
      <w:pPr>
        <w:spacing w:line="480" w:lineRule="auto"/>
        <w:ind w:firstLine="2880"/>
        <w:jc w:val="both"/>
      </w:pPr>
      <w:r>
        <w:t xml:space="preserve">(ii)</w:t>
      </w:r>
      <w:r xml:space="preserve">
        <w:t> </w:t>
      </w:r>
      <w:r xml:space="preserve">
        <w:t> </w:t>
      </w:r>
      <w:r>
        <w:t xml:space="preserve">satisfies requirements established by board rule; and</w:t>
      </w:r>
    </w:p>
    <w:p w:rsidR="003F3435" w:rsidRDefault="0032493E">
      <w:pPr>
        <w:spacing w:line="480" w:lineRule="auto"/>
        <w:ind w:firstLine="1440"/>
        <w:jc w:val="both"/>
      </w:pPr>
      <w:r>
        <w:t xml:space="preserve">(2)</w:t>
      </w:r>
      <w:r xml:space="preserve">
        <w:t> </w:t>
      </w:r>
      <w:r xml:space="preserve">
        <w:t> </w:t>
      </w:r>
      <w:r>
        <w:t xml:space="preserve">has met the continuing professional education requirements that apply to a license holder under this chapter for the three-year period preceding the date of application.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901.462, Occupations Code, is amended by amending Subsections (a) and (b) and adding Subsections (e) and (f) to read as follows:</w:t>
      </w:r>
    </w:p>
    <w:p w:rsidR="003F3435" w:rsidRDefault="0032493E">
      <w:pPr>
        <w:spacing w:line="480" w:lineRule="auto"/>
        <w:ind w:firstLine="720"/>
        <w:jc w:val="both"/>
      </w:pPr>
      <w:r>
        <w:t xml:space="preserve">(a)</w:t>
      </w:r>
      <w:r xml:space="preserve">
        <w:t> </w:t>
      </w:r>
      <w:r xml:space="preserve">
        <w:t> </w:t>
      </w:r>
      <w:r>
        <w:t xml:space="preserve">An individual who holds </w:t>
      </w:r>
      <w:r>
        <w:rPr>
          <w:u w:val="single"/>
        </w:rPr>
        <w:t xml:space="preserve">an active</w:t>
      </w:r>
      <w:r>
        <w:t xml:space="preserve"> [</w:t>
      </w:r>
      <w:r>
        <w:rPr>
          <w:strike/>
        </w:rPr>
        <w:t xml:space="preserve">a</w:t>
      </w:r>
      <w:r>
        <w:t xml:space="preserve">] certificate or license as a certified public accountant issued by another state and whose principal place of business is not in this state may exercise all the privileges of certificate and license holders of this state without obtaining a certificate or license under this chapter if </w:t>
      </w:r>
      <w:r>
        <w:rPr>
          <w:u w:val="single"/>
        </w:rPr>
        <w:t xml:space="preserve">the individual</w:t>
      </w:r>
      <w: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passed the uniform CPA examination;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completed: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baccalaureate degree with at least 150 semester hours and a concentration in accounting or equivalent courses;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graduate degree with a concentration in accounting or equivalent courses;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baccalaureate degree with a concentration in accounting or equivalent courses;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 the time the individual's certificate or license was issued in the other state, had completed: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one year of work experience, if licensed under an educational pathway comparable to Subdivision (2)(A) or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least two years of work experience, if licensed under an educational pathway comparable to Subdivision (2)(C)</w:t>
      </w:r>
      <w:r>
        <w:t xml:space="preserve"> [</w:t>
      </w:r>
      <w:r>
        <w:rPr>
          <w:strike/>
        </w:rPr>
        <w:t xml:space="preserve">(1)</w:t>
      </w:r>
      <w:r xml:space="preserve">
        <w:rPr>
          <w:strike/>
        </w:rPr>
        <w:t> </w:t>
      </w:r>
      <w:r xml:space="preserve">
        <w:rPr>
          <w:strike/>
        </w:rPr>
        <w:t> </w:t>
      </w:r>
      <w:r>
        <w:rPr>
          <w:strike/>
        </w:rPr>
        <w:t xml:space="preserve">the National Association of State Boards of Accountancy's National Qualification Appraisal Service has verified that the other state has education, examination, and experience requirements for certification or licensure that are comparable to or exceed the requirements for licensure as a certified public accountant of The American Institute of Certified Public Accountants/National Association of State Boards of Accountancy Uniform Accountancy Act and the board determines that the licensure requirements of that Act are comparable to or exceed the licensure requirements of this chapter;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individual obtains from the National Association of State Boards of Accountancy's National Qualification Appraisal Service verification that the individual's education, examination, and experience qualifications are comparable to or exceed the requirements for licensure as a certified public accountant of The American Institute of Certified Public Accountants/National Association of State Boards of Accountancy Uniform Accountancy Act and the board determines that the licensure requirements of that Act are comparable to or exceed the licensure requirements of this chapter</w:t>
      </w:r>
      <w:r>
        <w:t xml:space="preserve">].</w:t>
      </w:r>
    </w:p>
    <w:p w:rsidR="003F3435" w:rsidRDefault="0032493E">
      <w:pPr>
        <w:spacing w:line="480" w:lineRule="auto"/>
        <w:ind w:firstLine="720"/>
        <w:jc w:val="both"/>
      </w:pPr>
      <w:r>
        <w:t xml:space="preserve">(b)</w:t>
      </w:r>
      <w:r xml:space="preserve">
        <w:t> </w:t>
      </w:r>
      <w:r xml:space="preserve">
        <w:t> </w:t>
      </w:r>
      <w:r>
        <w:t xml:space="preserve">An individual who meets the requirements of Subsection </w:t>
      </w:r>
      <w:r>
        <w:rPr>
          <w:u w:val="single"/>
        </w:rPr>
        <w:t xml:space="preserve">(a)</w:t>
      </w:r>
      <w:r>
        <w:t xml:space="preserve"> [</w:t>
      </w:r>
      <w:r>
        <w:rPr>
          <w:strike/>
        </w:rPr>
        <w:t xml:space="preserve">(a)(1) or (2)</w:t>
      </w:r>
      <w:r>
        <w:t xml:space="preserve">] and who offers or renders professional services in person or by mail, telephone, or electronic means may practice public accountancy in this state without notice to the board.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the board may prohibit an individual not licensed in this state from exercising the privileges of certificate and license holders of this state if the board determines the individual does not meet the requirements of Subsection (a).</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individual who on December 31, 2024, held a certificate or license issued by another state and practiced under a privilege of this section in this state may exercise all the privileges of the holder of a certificate and license issued under this chapter without obtaining a certificate or license in this state.  To the extent that the individual exercises privileges as described by this subsection, the individual is subject to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522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