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Hughes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1228</w:t>
      </w:r>
    </w:p>
    <w:p w:rsidR="003F3435" w:rsidRDefault="0032493E">
      <w:pPr>
        <w:spacing w:line="480" w:lineRule="auto"/>
        <w:ind w:firstLine="720"/>
        <w:jc w:val="both"/>
      </w:pPr>
      <w:r>
        <w:t xml:space="preserve">(</w:t>
      </w:r>
      <w:r>
        <w:t xml:space="preserve">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11,</w:t>
      </w:r>
      <w:r xml:space="preserve">
        <w:t> </w:t>
      </w:r>
      <w:r>
        <w:t xml:space="preserve">2025;</w:t>
      </w:r>
      <w:r>
        <w:t xml:space="preserve"> February</w:t>
      </w:r>
      <w:r xml:space="preserve">
        <w:t> </w:t>
      </w:r>
      <w:r>
        <w:t xml:space="preserve">28,</w:t>
      </w:r>
      <w:r xml:space="preserve">
        <w:t> </w:t>
      </w:r>
      <w:r>
        <w:t xml:space="preserve">2025, read first time and referred to Committee on Economic Development; March</w:t>
      </w:r>
      <w:r xml:space="preserve">
        <w:t> </w:t>
      </w:r>
      <w:r>
        <w:t xml:space="preserve">26,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5, Nays 0; March</w:t>
      </w:r>
      <w:r xml:space="preserve">
        <w:t> </w:t>
      </w:r>
      <w:r>
        <w:t xml:space="preserve">26,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Alvarado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Johnson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continuation of the Task Force on Consolidation of Workforce and Social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319.005, Labor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319.005.</w:t>
      </w:r>
      <w:r xml:space="preserve">
        <w:t> </w:t>
      </w:r>
      <w:r xml:space="preserve">
        <w:t> </w:t>
      </w:r>
      <w:r>
        <w:t xml:space="preserve">REPORT TO LEGISLATURE.</w:t>
      </w:r>
      <w:r xml:space="preserve">
        <w:t> </w:t>
      </w:r>
      <w:r xml:space="preserve">
        <w:t> </w:t>
      </w:r>
      <w:r>
        <w:t xml:space="preserve">Not later than December 31 </w:t>
      </w:r>
      <w:r>
        <w:rPr>
          <w:u w:val="single"/>
        </w:rPr>
        <w:t xml:space="preserve">of each even-numbered year</w:t>
      </w:r>
      <w:r>
        <w:t xml:space="preserve">[</w:t>
      </w:r>
      <w:r>
        <w:rPr>
          <w:strike/>
        </w:rPr>
        <w:t xml:space="preserve">, 2024</w:t>
      </w:r>
      <w:r>
        <w:t xml:space="preserve">], the task force shall prepare and submit to the legislature a report that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description of the activities of the task force;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consolidation plan developed by the task force;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findings and recommendations of the task force.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319.006, Labor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319.006.</w:t>
      </w:r>
      <w:r xml:space="preserve">
        <w:t> </w:t>
      </w:r>
      <w:r xml:space="preserve">
        <w:t> </w:t>
      </w:r>
      <w:r>
        <w:t xml:space="preserve">EXPIRATION.  The task force is abolished and this chapter expires September 1, </w:t>
      </w:r>
      <w:r>
        <w:rPr>
          <w:u w:val="single"/>
        </w:rPr>
        <w:t xml:space="preserve">2027</w:t>
      </w:r>
      <w:r>
        <w:t xml:space="preserve"> [</w:t>
      </w:r>
      <w:r>
        <w:rPr>
          <w:strike/>
        </w:rPr>
        <w:t xml:space="preserve">2025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1228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