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2777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signed acknowledgment of the duties of a member of the Texas Lottery Commission.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466, Government Code, is amended by adding Section 466.0151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466.0151.</w:t>
      </w:r>
      <w:r>
        <w:rPr>
          <w:u w:val="single"/>
        </w:rPr>
        <w:t xml:space="preserve"> </w:t>
      </w:r>
      <w:r>
        <w:rPr>
          <w:u w:val="single"/>
        </w:rPr>
        <w:t xml:space="preserve"> </w:t>
      </w:r>
      <w:r>
        <w:rPr>
          <w:u w:val="single"/>
        </w:rPr>
        <w:t xml:space="preserve">ACKNOWLEDGMENT OF COMMISSION MEMBER DUTIES.  (a) An individual appointed as a member of the commission shall, as soon as practicable after the individual's term begins: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sign the acknowledgment described by this section prepared and provided by the executive director;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signed acknowledgment to the executive director for retention by the commission for the member's term.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member of the commission must sign a statement in the following form:</w:t>
      </w:r>
    </w:p>
    <w:p w:rsidR="003F3435" w:rsidRDefault="0032493E">
      <w:pPr>
        <w:spacing w:line="480" w:lineRule="auto"/>
        <w:jc w:val="center"/>
      </w:pPr>
      <w:r>
        <w:rPr>
          <w:u w:val="single"/>
        </w:rPr>
        <w:t xml:space="preserve">"ACKNOWLEDGMENT OF DUTIES OF TEXAS LOTTERY COMMISSION MEMBER</w:t>
      </w:r>
    </w:p>
    <w:p w:rsidR="003F3435" w:rsidRDefault="0032493E">
      <w:pPr>
        <w:spacing w:line="480" w:lineRule="auto"/>
        <w:jc w:val="both"/>
      </w:pPr>
      <w:r>
        <w:rPr>
          <w:u w:val="single"/>
        </w:rPr>
        <w:t xml:space="preserve">"I hereby acknowledge that I have read and understand the duties of an appointed member of the Texas Lottery Commission.</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"I understand the statutory responsibility to adopt rules consistent with Government Code 466, and I shall do so under strict interpretation.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 understand that the statutory responsibilities include adopting rules governing the:</w:t>
      </w:r>
    </w:p>
    <w:p w:rsidR="003F3435" w:rsidRDefault="0032493E">
      <w:pPr>
        <w:spacing w:line="480" w:lineRule="auto"/>
        <w:ind w:firstLine="1440"/>
        <w:jc w:val="both"/>
      </w:pPr>
      <w:r>
        <w:rPr>
          <w:u w:val="single"/>
        </w:rPr>
        <w:t xml:space="preserve">"(1) security for the lottery and the commission, including the development of an internal security plan;</w:t>
      </w:r>
    </w:p>
    <w:p w:rsidR="003F3435" w:rsidRDefault="0032493E">
      <w:pPr>
        <w:spacing w:line="480" w:lineRule="auto"/>
        <w:ind w:firstLine="1440"/>
        <w:jc w:val="both"/>
      </w:pPr>
      <w:r>
        <w:rPr>
          <w:u w:val="single"/>
        </w:rPr>
        <w:t xml:space="preserve">"(2) apportionment of the total revenues from the sale of tickets and from all other sources in the amounts provided by Chapter 466, Government Code;</w:t>
      </w:r>
    </w:p>
    <w:p w:rsidR="003F3435" w:rsidRDefault="0032493E">
      <w:pPr>
        <w:spacing w:line="480" w:lineRule="auto"/>
        <w:ind w:firstLine="1440"/>
        <w:jc w:val="both"/>
      </w:pPr>
      <w:r>
        <w:rPr>
          <w:u w:val="single"/>
        </w:rPr>
        <w:t xml:space="preserve">"(3) enforcement of prohibitions on the sale of tickets to or by an individual younger than 18 years of age;</w:t>
      </w:r>
    </w:p>
    <w:p w:rsidR="003F3435" w:rsidRDefault="0032493E">
      <w:pPr>
        <w:spacing w:line="480" w:lineRule="auto"/>
        <w:ind w:firstLine="1440"/>
        <w:jc w:val="both"/>
      </w:pPr>
      <w:r>
        <w:rPr>
          <w:u w:val="single"/>
        </w:rPr>
        <w:t xml:space="preserve">"(4) enforcement of prohibitions on a person playing a lottery game by telephone; and</w:t>
      </w:r>
    </w:p>
    <w:p w:rsidR="003F3435" w:rsidRDefault="0032493E">
      <w:pPr>
        <w:spacing w:line="480" w:lineRule="auto"/>
        <w:ind w:firstLine="1440"/>
        <w:jc w:val="both"/>
      </w:pPr>
      <w:r>
        <w:rPr>
          <w:u w:val="single"/>
        </w:rPr>
        <w:t xml:space="preserve">"(5) nondisclosure of the personally identifiable information of certain lottery prize winners under Section 466.411, Government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 understand that the duties of a commission member may include adopting rules regarding the establishment and operation of the lottery, including rules governing:</w:t>
      </w:r>
    </w:p>
    <w:p w:rsidR="003F3435" w:rsidRDefault="0032493E">
      <w:pPr>
        <w:spacing w:line="480" w:lineRule="auto"/>
        <w:ind w:firstLine="1440"/>
        <w:jc w:val="both"/>
      </w:pPr>
      <w:r>
        <w:rPr>
          <w:u w:val="single"/>
        </w:rPr>
        <w:t xml:space="preserve">"(1) the type of lottery games to be conducted;</w:t>
      </w:r>
    </w:p>
    <w:p w:rsidR="003F3435" w:rsidRDefault="0032493E">
      <w:pPr>
        <w:spacing w:line="480" w:lineRule="auto"/>
        <w:ind w:firstLine="1440"/>
        <w:jc w:val="both"/>
      </w:pPr>
      <w:r>
        <w:rPr>
          <w:u w:val="single"/>
        </w:rPr>
        <w:t xml:space="preserve">"(2) the price of each ticket;</w:t>
      </w:r>
    </w:p>
    <w:p w:rsidR="003F3435" w:rsidRDefault="0032493E">
      <w:pPr>
        <w:spacing w:line="480" w:lineRule="auto"/>
        <w:ind w:firstLine="1440"/>
        <w:jc w:val="both"/>
      </w:pPr>
      <w:r>
        <w:rPr>
          <w:u w:val="single"/>
        </w:rPr>
        <w:t xml:space="preserve">"(3) the number of winning tickets and amount of the prize paid on each winning ticket;</w:t>
      </w:r>
    </w:p>
    <w:p w:rsidR="003F3435" w:rsidRDefault="0032493E">
      <w:pPr>
        <w:spacing w:line="480" w:lineRule="auto"/>
        <w:ind w:firstLine="1440"/>
        <w:jc w:val="both"/>
      </w:pPr>
      <w:r>
        <w:rPr>
          <w:u w:val="single"/>
        </w:rPr>
        <w:t xml:space="preserve">"(4) the frequency of the drawing or selection of a winning ticket;</w:t>
      </w:r>
    </w:p>
    <w:p w:rsidR="003F3435" w:rsidRDefault="0032493E">
      <w:pPr>
        <w:spacing w:line="480" w:lineRule="auto"/>
        <w:ind w:firstLine="1440"/>
        <w:jc w:val="both"/>
      </w:pPr>
      <w:r>
        <w:rPr>
          <w:u w:val="single"/>
        </w:rPr>
        <w:t xml:space="preserve">"(5) the number and types of locations at which a ticket may be sold;</w:t>
      </w:r>
    </w:p>
    <w:p w:rsidR="003F3435" w:rsidRDefault="0032493E">
      <w:pPr>
        <w:spacing w:line="480" w:lineRule="auto"/>
        <w:ind w:firstLine="1440"/>
        <w:jc w:val="both"/>
      </w:pPr>
      <w:r>
        <w:rPr>
          <w:u w:val="single"/>
        </w:rPr>
        <w:t xml:space="preserve">"(6) the method to be used in selling a ticket;</w:t>
      </w:r>
    </w:p>
    <w:p w:rsidR="003F3435" w:rsidRDefault="0032493E">
      <w:pPr>
        <w:spacing w:line="480" w:lineRule="auto"/>
        <w:ind w:firstLine="1440"/>
        <w:jc w:val="both"/>
      </w:pPr>
      <w:r>
        <w:rPr>
          <w:u w:val="single"/>
        </w:rPr>
        <w:t xml:space="preserve">"(7) the use of vending machines or electronic or mechanical devices of any kind, other than machines or devices that dispense currency or coins as prizes;</w:t>
      </w:r>
    </w:p>
    <w:p w:rsidR="003F3435" w:rsidRDefault="0032493E">
      <w:pPr>
        <w:spacing w:line="480" w:lineRule="auto"/>
        <w:ind w:firstLine="1440"/>
        <w:jc w:val="both"/>
      </w:pPr>
      <w:r>
        <w:rPr>
          <w:u w:val="single"/>
        </w:rPr>
        <w:t xml:space="preserve">"(8) the manner of paying a prize to the holder of a winning ticket;</w:t>
      </w:r>
    </w:p>
    <w:p w:rsidR="003F3435" w:rsidRDefault="0032493E">
      <w:pPr>
        <w:spacing w:line="480" w:lineRule="auto"/>
        <w:ind w:firstLine="1440"/>
        <w:jc w:val="both"/>
      </w:pPr>
      <w:r>
        <w:rPr>
          <w:u w:val="single"/>
        </w:rPr>
        <w:t xml:space="preserve">"(9) the investigation of possible violations of Chapter 466, Government Code, or any rule adopted under that chapter;</w:t>
      </w:r>
    </w:p>
    <w:p w:rsidR="003F3435" w:rsidRDefault="0032493E">
      <w:pPr>
        <w:spacing w:line="480" w:lineRule="auto"/>
        <w:ind w:firstLine="1440"/>
        <w:jc w:val="both"/>
      </w:pPr>
      <w:r>
        <w:rPr>
          <w:u w:val="single"/>
        </w:rPr>
        <w:t xml:space="preserve">"(10) the means of advertising to be used for the lottery;</w:t>
      </w:r>
    </w:p>
    <w:p w:rsidR="003F3435" w:rsidRDefault="0032493E">
      <w:pPr>
        <w:spacing w:line="480" w:lineRule="auto"/>
        <w:ind w:firstLine="1440"/>
        <w:jc w:val="both"/>
      </w:pPr>
      <w:r>
        <w:rPr>
          <w:u w:val="single"/>
        </w:rPr>
        <w:t xml:space="preserve">"(11)  the qualifications of vendors of lottery services or equipment;</w:t>
      </w:r>
    </w:p>
    <w:p w:rsidR="003F3435" w:rsidRDefault="0032493E">
      <w:pPr>
        <w:spacing w:line="480" w:lineRule="auto"/>
        <w:ind w:firstLine="1440"/>
        <w:jc w:val="both"/>
      </w:pPr>
      <w:r>
        <w:rPr>
          <w:u w:val="single"/>
        </w:rPr>
        <w:t xml:space="preserve">"(12)  the confidentiality of information relating to the operation of the lottery, including:</w:t>
      </w:r>
    </w:p>
    <w:p w:rsidR="003F3435" w:rsidRDefault="0032493E">
      <w:pPr>
        <w:spacing w:line="480" w:lineRule="auto"/>
        <w:ind w:firstLine="2160"/>
        <w:jc w:val="both"/>
      </w:pPr>
      <w:r>
        <w:rPr>
          <w:u w:val="single"/>
        </w:rPr>
        <w:t xml:space="preserve">"(A)  trade secrets;</w:t>
      </w:r>
    </w:p>
    <w:p w:rsidR="003F3435" w:rsidRDefault="0032493E">
      <w:pPr>
        <w:spacing w:line="480" w:lineRule="auto"/>
        <w:ind w:firstLine="2160"/>
        <w:jc w:val="both"/>
      </w:pPr>
      <w:r>
        <w:rPr>
          <w:u w:val="single"/>
        </w:rPr>
        <w:t xml:space="preserve">"(B) security measures, systems, or procedures;</w:t>
      </w:r>
    </w:p>
    <w:p w:rsidR="003F3435" w:rsidRDefault="0032493E">
      <w:pPr>
        <w:spacing w:line="480" w:lineRule="auto"/>
        <w:ind w:firstLine="2160"/>
        <w:jc w:val="both"/>
      </w:pPr>
      <w:r>
        <w:rPr>
          <w:u w:val="single"/>
        </w:rPr>
        <w:t xml:space="preserve">"(C) security reports;</w:t>
      </w:r>
    </w:p>
    <w:p w:rsidR="003F3435" w:rsidRDefault="0032493E">
      <w:pPr>
        <w:spacing w:line="480" w:lineRule="auto"/>
        <w:ind w:firstLine="2160"/>
        <w:jc w:val="both"/>
      </w:pPr>
      <w:r>
        <w:rPr>
          <w:u w:val="single"/>
        </w:rPr>
        <w:t xml:space="preserve">"(D) bids or other information regarding the commission's contracts, if disclosure of the information would impair the commission's ability to contract for facilities, goods, or services on terms favorable to the commission;</w:t>
      </w:r>
    </w:p>
    <w:p w:rsidR="003F3435" w:rsidRDefault="0032493E">
      <w:pPr>
        <w:spacing w:line="480" w:lineRule="auto"/>
        <w:ind w:firstLine="2160"/>
        <w:jc w:val="both"/>
      </w:pPr>
      <w:r>
        <w:rPr>
          <w:u w:val="single"/>
        </w:rPr>
        <w:t xml:space="preserve">"(E) personnel information unrelated to compensation, duties, qualifications, or responsibilities;  and</w:t>
      </w:r>
    </w:p>
    <w:p w:rsidR="003F3435" w:rsidRDefault="0032493E">
      <w:pPr>
        <w:spacing w:line="480" w:lineRule="auto"/>
        <w:ind w:firstLine="2160"/>
        <w:jc w:val="both"/>
      </w:pPr>
      <w:r>
        <w:rPr>
          <w:u w:val="single"/>
        </w:rPr>
        <w:t xml:space="preserve">"(F) information obtained by commission security officers or investigators;</w:t>
      </w:r>
    </w:p>
    <w:p w:rsidR="003F3435" w:rsidRDefault="0032493E">
      <w:pPr>
        <w:spacing w:line="480" w:lineRule="auto"/>
        <w:ind w:firstLine="1440"/>
        <w:jc w:val="both"/>
      </w:pPr>
      <w:r>
        <w:rPr>
          <w:u w:val="single"/>
        </w:rPr>
        <w:t xml:space="preserve">"(13) the development and availability of a model agreement governing the division of a prize among multiple purchasers of a winning ticket purchased through a group purchase or pooling arrangement;</w:t>
      </w:r>
    </w:p>
    <w:p w:rsidR="003F3435" w:rsidRDefault="0032493E">
      <w:pPr>
        <w:spacing w:line="480" w:lineRule="auto"/>
        <w:ind w:firstLine="1440"/>
        <w:jc w:val="both"/>
      </w:pPr>
      <w:r>
        <w:rPr>
          <w:u w:val="single"/>
        </w:rPr>
        <w:t xml:space="preserve">"(14) the criteria to be used in evaluating bids for contracts for lottery facilities, goods, and services; and</w:t>
      </w:r>
    </w:p>
    <w:p w:rsidR="003F3435" w:rsidRDefault="0032493E">
      <w:pPr>
        <w:spacing w:line="480" w:lineRule="auto"/>
        <w:ind w:firstLine="1440"/>
        <w:jc w:val="both"/>
      </w:pPr>
      <w:r>
        <w:rPr>
          <w:u w:val="single"/>
        </w:rPr>
        <w:t xml:space="preserve">"(15) any other matter necessary or desirable, as determined by the commission, to promote and ensure:</w:t>
      </w:r>
    </w:p>
    <w:p w:rsidR="003F3435" w:rsidRDefault="0032493E">
      <w:pPr>
        <w:spacing w:line="480" w:lineRule="auto"/>
        <w:ind w:firstLine="2160"/>
        <w:jc w:val="both"/>
      </w:pPr>
      <w:r>
        <w:rPr>
          <w:u w:val="single"/>
        </w:rPr>
        <w:t xml:space="preserve">"(A) the integrity, security, honesty, and fairness of the operation and administration of the lottery; and</w:t>
      </w:r>
    </w:p>
    <w:p w:rsidR="003F3435" w:rsidRDefault="0032493E">
      <w:pPr>
        <w:spacing w:line="480" w:lineRule="auto"/>
        <w:ind w:firstLine="2160"/>
        <w:jc w:val="both"/>
      </w:pPr>
      <w:r>
        <w:rPr>
          <w:u w:val="single"/>
        </w:rPr>
        <w:t xml:space="preserve">"(B) the convenience of players and holders of winning tickets."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member of the commission whose term began before September 1, 2025, shall sign the acknowledgment form under this section as soon as practicable. This subsection expires January 1, 2026.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2777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