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S.B.</w:t>
      </w:r>
      <w:r xml:space="preserve">
        <w:t> </w:t>
      </w:r>
      <w:r>
        <w:t xml:space="preserve">No.</w:t>
      </w:r>
      <w:r xml:space="preserve">
        <w:t> </w:t>
      </w:r>
      <w:r>
        <w:t xml:space="preserve">2732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involvement procedures for the statewide transportation improvement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201, Transportation Code, is amended by adding Section 201.8115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201.8115.</w:t>
      </w:r>
      <w:r>
        <w:rPr>
          <w:u w:val="single"/>
        </w:rPr>
        <w:t xml:space="preserve"> </w:t>
      </w:r>
      <w:r>
        <w:rPr>
          <w:u w:val="single"/>
        </w:rPr>
        <w:t xml:space="preserve"> </w:t>
      </w:r>
      <w:r>
        <w:rPr>
          <w:u w:val="single"/>
        </w:rPr>
        <w:t xml:space="preserve">PUBLIC INVOLVEMENT PROCEDURES FOR STATEWIDE TRANSPORTATION IMPROVEMENT PROGRAM.  (a)  During the development of the statewide transportation improvement program, the department shall hold a quarterly public meeting in each department district regarding the adoption of the proposed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publish notice of each meeting under Subsection (a) in the Texas Register not later than the 15th day before the date of the meeting;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 verbal public comments and questions during each meeting held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prepare a written debriefing assessment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each meeting held under Subsection (a) that summarizes the highlights or major accomplishments from the meeting;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public verbal comments and questions received under Subdivision (2) that summarizes the comments and questions received and key points or issues raised in the comments;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make the debriefing assessments required under Subdivision (3) available to the public on the department's Internet website or through e-mail distribution;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 response mechanism that informs stakeholders of ideas received from the public during the meeting held under Subsection (a) or though verbal comments received under Subdivision (2) that the department is incorporating into the program and clearly communicates why alternate decisions are required for ideas that the department does not incorporate into the program;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demonstrate explicit consideration and response to public input during the development of the statewide transportation improvement program;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inform the public of how the statewide transportation improvement program interacts with local transportation improvement planning, the timeline for that planning, and how to obtain more information on that process.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the department may consider project designs for any transportation project included in the statewide transportation improvement program, the department must hold a meeting under Subsection (a) to discuss the project.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