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89R8822 BCH-F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2839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training on de-escalation, crisis intervention, and behavioral health for correctional officers and certain other employees of the Texas Department of Criminal Justice.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Jovian Motley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493, Government Code, is amended by adding Section 493.0325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493.0325.</w:t>
      </w:r>
      <w:r>
        <w:rPr>
          <w:u w:val="single"/>
        </w:rPr>
        <w:t xml:space="preserve"> </w:t>
      </w:r>
      <w:r>
        <w:rPr>
          <w:u w:val="single"/>
        </w:rPr>
        <w:t xml:space="preserve"> </w:t>
      </w:r>
      <w:r>
        <w:rPr>
          <w:u w:val="single"/>
        </w:rPr>
        <w:t xml:space="preserve">CORRECTIONAL OFFICER TRAINING ON DE-ESCALATION, CRISIS INTERVENTION, AND BEHAVIORAL HEALTH.  (a)</w:t>
      </w:r>
      <w:r>
        <w:rPr>
          <w:u w:val="single"/>
        </w:rPr>
        <w:t xml:space="preserve"> </w:t>
      </w:r>
      <w:r>
        <w:rPr>
          <w:u w:val="single"/>
        </w:rPr>
        <w:t xml:space="preserve"> </w:t>
      </w:r>
      <w:r>
        <w:rPr>
          <w:u w:val="single"/>
        </w:rPr>
        <w:t xml:space="preserve">This section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correctional officer employed by the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department employee responsible for the direct supervision of correctional officers described by Subdivision (1);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department employee whose duties involve contact with inmates.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facilitate interaction with inmates, the department shall provide employees described by Subsection (a) training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de-escalation and crisis intervention techniques;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behavioral health.</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training described by Subsection (b)(1) must include information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effective communication;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employing alternatives to physical restraints;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techniques for limiting the use of force resulting in bodily injury.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training described by Subsection (b)(2) must include information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effective communication and intervention;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increased awareness of persons with behavioral health concerns, substance use disorders, or intellectual and developmental disabilities;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crisis recognition, prevention, and response;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suicide risk and prevention;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access to employee assistance programs available to correctional officers.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training required by this section must be included in the department's preservice training for correctional officers and completed annually by employees described by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but not later than December 1, 2025, the Texas Department of Criminal Justice shall make the training required by Section 493.0325, Government Code, as added by this Act, available to the employees described by Subsection (a) of that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2839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