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Capriglione</w:t>
      </w:r>
      <w:r xml:space="preserve">
        <w:tab wTab="150" tlc="none" cTlc="0"/>
      </w:r>
      <w:r>
        <w:t xml:space="preserve">H.B.</w:t>
      </w:r>
      <w:r xml:space="preserve">
        <w:t> </w:t>
      </w:r>
      <w:r>
        <w:t xml:space="preserve">No.</w:t>
      </w:r>
      <w:r xml:space="preserve">
        <w:t> </w:t>
      </w:r>
      <w:r>
        <w:t xml:space="preserve">5194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improving the efficiency of state workforce development programs and apprenticeship pathways to address workforce shortages.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302, Labor Code, is amended by adding Section 302.0039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302.0039.</w:t>
      </w:r>
      <w:r>
        <w:rPr>
          <w:u w:val="single"/>
        </w:rPr>
        <w:t xml:space="preserve"> </w:t>
      </w:r>
      <w:r>
        <w:rPr>
          <w:u w:val="single"/>
        </w:rPr>
        <w:t xml:space="preserve"> </w:t>
      </w:r>
      <w:r>
        <w:rPr>
          <w:u w:val="single"/>
        </w:rPr>
        <w:t xml:space="preserve">RURAL WORKFORCE TRAINING GRANT PROGRAM.  (a) In this section, "program" means the Rural Workforce Training Grant Program established under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establish and administer the Rural Workforce Training Grant Program for the purpose of providing targeted funding for job-specific workforce training and related services to strengthen the skills, resources, and career opportunities of the rural workforce in this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Under the program, the commission shall award grants to public, private, or nonprofit entities, including business associations, political subdivisions, local workforce development boards, and educational institutions, that:</w:t>
      </w:r>
    </w:p>
    <w:p w:rsidR="003F3435" w:rsidRDefault="0032493E">
      <w:pPr>
        <w:spacing w:line="480" w:lineRule="auto"/>
        <w:ind w:firstLine="720"/>
        <w:jc w:val="both"/>
      </w:pPr>
      <w:r>
        <w:rPr>
          <w:u w:val="single"/>
        </w:rPr>
        <w:t xml:space="preserve">(1)</w:t>
      </w:r>
      <w:r>
        <w:rPr>
          <w:u w:val="single"/>
        </w:rPr>
        <w:t xml:space="preserve"> </w:t>
      </w:r>
      <w:r>
        <w:rPr>
          <w:u w:val="single"/>
        </w:rPr>
        <w:t xml:space="preserve"> </w:t>
      </w:r>
      <w:r>
        <w:rPr>
          <w:u w:val="single"/>
        </w:rPr>
        <w:t xml:space="preserve">provide on-the-job training, apprenticeships, workforce education courses, and other job-specific workforce development activities in a county with a population of less than 200,000; and</w:t>
      </w:r>
    </w:p>
    <w:p w:rsidR="003F3435" w:rsidRDefault="0032493E">
      <w:pPr>
        <w:spacing w:line="480" w:lineRule="auto"/>
        <w:ind w:firstLine="720"/>
        <w:jc w:val="both"/>
      </w:pPr>
      <w:r>
        <w:rPr>
          <w:u w:val="single"/>
        </w:rPr>
        <w:t xml:space="preserve">(2)</w:t>
      </w:r>
      <w:r>
        <w:rPr>
          <w:u w:val="single"/>
        </w:rPr>
        <w:t xml:space="preserve"> </w:t>
      </w:r>
      <w:r>
        <w:rPr>
          <w:u w:val="single"/>
        </w:rPr>
        <w:t xml:space="preserve"> </w:t>
      </w:r>
      <w:r>
        <w:rPr>
          <w:u w:val="single"/>
        </w:rPr>
        <w:t xml:space="preserve">apply to the commission in the manner provided by commission rule.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Grant money awarded to an entity under the program may be used only to cover costs associated with training materials, instructors' fees, participant wraparound expenses, facility fees, administrative costs, and outreach, mentoring, and recruiting costs for the training, apprenticeship, course, or other activity for which the money is awarded.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 shall require a grant recipient to provide periodic reports regarding the recipient's use of grant money received under the program and related training participant outcomes.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 may solicit and accept gifts, grants, and donations from any public or private source for purposes of the program.</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commission shall adopt rules for the administration of the program.</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Not later than December 1 of each year, the commission shall submit to the governor, the lieutenant governor, the speaker of the house of representatives, and the standing committee of each house of the legislature with primary jurisdiction over workforce development matters a report regarding:</w:t>
      </w:r>
    </w:p>
    <w:p w:rsidR="003F3435" w:rsidRDefault="0032493E">
      <w:pPr>
        <w:spacing w:line="480" w:lineRule="auto"/>
        <w:ind w:firstLine="720"/>
        <w:jc w:val="both"/>
      </w:pPr>
      <w:r>
        <w:rPr>
          <w:u w:val="single"/>
        </w:rPr>
        <w:t xml:space="preserve">(1)</w:t>
      </w:r>
      <w:r>
        <w:rPr>
          <w:u w:val="single"/>
        </w:rPr>
        <w:t xml:space="preserve"> </w:t>
      </w:r>
      <w:r>
        <w:rPr>
          <w:u w:val="single"/>
        </w:rPr>
        <w:t xml:space="preserve"> </w:t>
      </w:r>
      <w:r>
        <w:rPr>
          <w:u w:val="single"/>
        </w:rPr>
        <w:t xml:space="preserve">the grants awarded under the program during the most recent state fiscal year; and</w:t>
      </w:r>
    </w:p>
    <w:p w:rsidR="003F3435" w:rsidRDefault="0032493E">
      <w:pPr>
        <w:spacing w:line="480" w:lineRule="auto"/>
        <w:ind w:firstLine="720"/>
        <w:jc w:val="both"/>
      </w:pPr>
      <w:r>
        <w:rPr>
          <w:u w:val="single"/>
        </w:rPr>
        <w:t xml:space="preserve">(2)</w:t>
      </w:r>
      <w:r>
        <w:rPr>
          <w:u w:val="single"/>
        </w:rPr>
        <w:t xml:space="preserve"> </w:t>
      </w:r>
      <w:r>
        <w:rPr>
          <w:u w:val="single"/>
        </w:rPr>
        <w:t xml:space="preserve"> </w:t>
      </w:r>
      <w:r>
        <w:rPr>
          <w:u w:val="single"/>
        </w:rPr>
        <w:t xml:space="preserve">the program's effectiveness.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Texas Workforce Commission shall adopt the rules required under Section 302.0039(g), Labor Code, as added by this Act, as soon as practicable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C, Chapter 2054, Government Code, is amended by adding Section 2054.0702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2054.0702.</w:t>
      </w:r>
      <w:r>
        <w:rPr>
          <w:u w:val="single"/>
        </w:rPr>
        <w:t xml:space="preserve"> </w:t>
      </w:r>
      <w:r>
        <w:rPr>
          <w:u w:val="single"/>
        </w:rPr>
        <w:t xml:space="preserve"> </w:t>
      </w:r>
      <w:r>
        <w:rPr>
          <w:u w:val="single"/>
        </w:rPr>
        <w:t xml:space="preserve">STATE INFORMATION TECHNOLOGY APPRENTICESHIP CREDENTIAL. </w:t>
      </w:r>
      <w:r>
        <w:rPr>
          <w:u w:val="single"/>
        </w:rPr>
        <w:t xml:space="preserve"> </w:t>
      </w:r>
      <w:r>
        <w:rPr>
          <w:u w:val="single"/>
        </w:rPr>
        <w:t xml:space="preserve">(a) In this section, "public technical institute" has the meaning assigned by Section 61.003, Education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state agency may enter into an agreement with a public junior college district under Section 130.0081, Education Code, or a public technical institute under Section 135.06, Education Code, or other applicable law to offer a program leading to a state information technology apprenticeship credential to address shortages in the state information resources workforce.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program offered under this section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approved by the Texas Higher Education Coordinating Board in accordance with Section 61.0512, Education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the knowledge and skills necessary for a journey- or senior-level information technology position in a state agency;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include a one-year apprenticeship with: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relevant state agency;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organization working on a major information resources project;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regional network security center established under Section 2059.202.</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executive director shall update the department's intra-agency career ladder program to ensure that an associate degree together with a credential awarded under this section may be substituted for a four-year baccalaureate degree.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classification officer in the office of the state auditor shall review the state's position classification plan to determine whether an associate degree together with a credential awarded under this section may be substituted for a four-year baccalaureate degree and revise relevant job descriptions accordingly.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5194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