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89R14612 DNC-D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2481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extensions of a deadline to comply with a municipal order for a substandard building in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214.001, Local Government Code, is amended by adding Subsection (k-1) to read as follows:</w:t>
      </w:r>
    </w:p>
    <w:p w:rsidR="003F3435" w:rsidRDefault="0032493E">
      <w:pPr>
        <w:spacing w:line="480" w:lineRule="auto"/>
        <w:ind w:firstLine="720"/>
        <w:jc w:val="both"/>
      </w:pPr>
      <w:r>
        <w:rPr>
          <w:u w:val="single"/>
        </w:rPr>
        <w:t xml:space="preserve">(k-1)</w:t>
      </w:r>
      <w:r>
        <w:rPr>
          <w:u w:val="single"/>
        </w:rPr>
        <w:t xml:space="preserve"> </w:t>
      </w:r>
      <w:r>
        <w:rPr>
          <w:u w:val="single"/>
        </w:rPr>
        <w:t xml:space="preserve"> </w:t>
      </w:r>
      <w:r>
        <w:rPr>
          <w:u w:val="single"/>
        </w:rPr>
        <w:t xml:space="preserve">A municipality with a population of two million or more may only provide two 90-day extensions to allow the owner, lienholder, or mortgagee more than 30 days to repair, remove, or demolish the building or fully perform all work required to comply with the order. </w:t>
      </w:r>
      <w:r>
        <w:rPr>
          <w:u w:val="single"/>
        </w:rPr>
        <w:t xml:space="preserve"> </w:t>
      </w:r>
      <w:r>
        <w:rPr>
          <w:u w:val="single"/>
        </w:rPr>
        <w:t xml:space="preserve">To be eligible for an extension, the owner, lienholder, or mortgagee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initial extension, request the extension in good faith;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second extension, request the extension by demonstrating hardship.</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