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89R12793 SCL-D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Morgan</w:t>
      </w:r>
      <w:r xml:space="preserve">
        <w:tab wTab="150" tlc="none" cTlc="0"/>
      </w:r>
      <w:r>
        <w:t xml:space="preserve">H.B.</w:t>
      </w:r>
      <w:r xml:space="preserve">
        <w:t> </w:t>
      </w:r>
      <w:r>
        <w:t xml:space="preserve">No.</w:t>
      </w:r>
      <w:r xml:space="preserve">
        <w:t> </w:t>
      </w:r>
      <w:r>
        <w:t xml:space="preserve">5017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effects of unresponsive insureds for a personal automobile insurance policy.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1952, Insurance Code, is amended by adding Section 1952.061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1952.061.</w:t>
      </w:r>
      <w:r>
        <w:rPr>
          <w:u w:val="single"/>
        </w:rPr>
        <w:t xml:space="preserve"> </w:t>
      </w:r>
      <w:r>
        <w:rPr>
          <w:u w:val="single"/>
        </w:rPr>
        <w:t xml:space="preserve"> </w:t>
      </w:r>
      <w:r>
        <w:rPr>
          <w:u w:val="single"/>
        </w:rPr>
        <w:t xml:space="preserve">REQUIRED PROVISION: UNRESPONSIVE INSUREDS.  (a)  This section applies to an insurer authorized to write automobile insurance in this state, including an insurance company, reciprocal or interinsurance exchange, mutual insurance company, capital stock company, county mutual insurance company, Lloyd's plan, or other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personal automobile insurance policy must contain a provision requiring the insurer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attempt to communicate with the named insured at least five times or until the insured responds during the 45-day period following the date a liability claim is made against the insured by a third party;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insurer is unable to communicate with the named insured during that period: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pay the claim to the third-party claimant in accordance with the policy;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decline to renew the policy.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1952.061, Insurance Code, as added by this Act, applies only to an insurance policy delivered, issued for delivery, or renewed on or after January 1, 2026.</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5017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