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89R16345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Menéndez</w:t>
      </w:r>
      <w:r xml:space="preserve">
        <w:tab wTab="150" tlc="none" cTlc="0"/>
      </w:r>
      <w:r>
        <w:t xml:space="preserve">S.B.</w:t>
      </w:r>
      <w:r xml:space="preserve">
        <w:t> </w:t>
      </w:r>
      <w:r>
        <w:t xml:space="preserve">No.</w:t>
      </w:r>
      <w:r xml:space="preserve">
        <w:t> </w:t>
      </w:r>
      <w:r>
        <w:t xml:space="preserve">2469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regulation of certain day-care centers.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42.0441, Human Resources Code, is amended to read as follows:</w:t>
      </w:r>
    </w:p>
    <w:p w:rsidR="003F3435" w:rsidRDefault="0032493E">
      <w:pPr>
        <w:spacing w:line="480" w:lineRule="auto"/>
        <w:ind w:firstLine="720"/>
        <w:jc w:val="both"/>
      </w:pPr>
      <w:r>
        <w:t xml:space="preserve">Sec.</w:t>
      </w:r>
      <w:r xml:space="preserve">
        <w:t> </w:t>
      </w:r>
      <w:r>
        <w:t xml:space="preserve">42.0441.</w:t>
      </w:r>
      <w:r xml:space="preserve">
        <w:t> </w:t>
      </w:r>
      <w:r xml:space="preserve">
        <w:t> </w:t>
      </w:r>
      <w:r>
        <w:t xml:space="preserve">INSPECTION RESULTS FOR CERTAIN NONRESIDENTIAL CHILD-CARE FACILITIES</w:t>
      </w:r>
      <w:r>
        <w:rPr>
          <w:u w:val="single"/>
        </w:rPr>
        <w:t xml:space="preserve">; OPPORTUNITY TO CURE</w:t>
      </w:r>
      <w:r>
        <w:t xml:space="preserve">.  </w:t>
      </w:r>
      <w:r>
        <w:rPr>
          <w:u w:val="single"/>
        </w:rPr>
        <w:t xml:space="preserve">(a)</w:t>
      </w:r>
      <w:r>
        <w:t xml:space="preserve"> </w:t>
      </w:r>
      <w:r>
        <w:t xml:space="preserve"> </w:t>
      </w:r>
      <w:r>
        <w:t xml:space="preserve">Immediately after completing a monitoring inspection of a licensed day-care center, licensed group day-care home, or registered family home under Section 42.044, the authorized representative of the </w:t>
      </w:r>
      <w:r>
        <w:rPr>
          <w:u w:val="single"/>
        </w:rPr>
        <w:t xml:space="preserve">commission</w:t>
      </w:r>
      <w:r>
        <w:t xml:space="preserve"> [</w:t>
      </w:r>
      <w:r>
        <w:rPr>
          <w:strike/>
        </w:rPr>
        <w:t xml:space="preserve">department</w:t>
      </w:r>
      <w:r>
        <w:t xml:space="preserve">] shall review the results of the monitoring inspection with a representative of the facility and give the facility an opportunity to respond to the inspection results.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authorized representative of the commission shall provide a day-care center, group day-care home, or family home an opportunity to immediately cure a violation of a minimum standard that does not pose a risk to a child's safety.  If the center or home immediately cures the violation, the authorized representative may not include the violation in the inspection results or report.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C, Chapter 42, Human Resources Code, is amended by adding Section 42.04426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42.04426.</w:t>
      </w:r>
      <w:r>
        <w:rPr>
          <w:u w:val="single"/>
        </w:rPr>
        <w:t xml:space="preserve"> </w:t>
      </w:r>
      <w:r>
        <w:rPr>
          <w:u w:val="single"/>
        </w:rPr>
        <w:t xml:space="preserve"> </w:t>
      </w:r>
      <w:r>
        <w:rPr>
          <w:u w:val="single"/>
        </w:rPr>
        <w:t xml:space="preserve">REGISTRY OF DAY-CARE VIOLATIONS; VIOLATION NOTICE, APPEAL, AND JUDICIAL REVIEW.  (a)  The commission shall establish a registry of day-care violations.  If the commission determines an employee of a day-care center, group day-care home, or family home is responsible for a violation, the commission shall record in the registry: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employee's name, address, and social security number;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address of the center or home where the violation occurred;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date the violation occurred;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description of the violation.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give written notice of the commission's determination of a violation occurring at a day-care center, group day-care home, or family home to any employee of the center or home who is responsible for the violation.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brief summary of the commission's determination;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of the employee's right to a hearing on the commission's determination;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statement notifying the employee that if the employee fails to timely respond to the notice, the commission's determination of the employee's responsibility for the violation will be recorded in the commission's registry of day-care violations.</w:t>
      </w:r>
      <w:r>
        <w:t xml:space="preserve"> </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 later than the 30th day after the date the notice is received, the employee notified may accept the commission's determination or may submit a written request to the commission for a hearing on that determination.</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the employee notified of the violation accepts the commission's determination or fails to timely respond to the notice, the commission shall add the determination to the commission's registry of day-care violations.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the employee requests a hearing, the commission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set a date for a hearing;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give written notice of the hearing date to the employee;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designate an administrative law judge to conduct the hearing.</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The administrative law judge shall make findings of fact and conclusions of law and shall promptly issue a decision regarding the occurrence of the violation.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administrative law judge shall give notice of the decision to the employee allegedly responsible for the violation.  The notice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separate statements of the findings of fact and conclusions of law;</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statement of the employee's right to judicial review of the decision;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statement that the violation will be recorded in the commission's registry of day-care violations if: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employee does not request judicial review of the decision;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decision is sustained by the court.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Not later than the 30th day after the date the employee receives notice of the administrative law judge's decision, the employee may file a petition for judicial review contesting the decision.  If the employee does not request judicial review of the decision, the commission shall record the violation in the commission's registry of day-care violations.</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Judicial review of the decision: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instituted by filing a petition as provided by Subchapter G, Chapter 2001, Government Code;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under the substantial evidence rule.</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If the court sustains the administrative law judge's decision on the occurrence of the violation, the commission shall record the violation in the commission's registry of day-care violations.</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The commission shall make the commission's registry of day-care violations available to a day-care center, group day-care home, or family home.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42.0704, Human Resources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enforcement policy must include a process to appeal a commission determination of a violation of this chapter or a commission rule by a day-care center, group day-care home, or family home.  The center or home may request a hearing before an administrative law judge of the State Office of Administrative Hearings on the issue of whether the center or home committed the violation.  If the administrative law judge finds no violation occurred: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administrative law judge shall order the commission to remove the violation from the center's or home's record;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commission shall remove the violation from the record not later than the 10th business day after the date the order is issued.</w:t>
      </w:r>
      <w:r>
        <w:t xml:space="preserve"> </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The Health and Human Services Commission shall study the violations the commission found at each licensed day-care center, licensed group day-care home, or registered family home during the preceding ten years to determine the ten licensing standards most frequently violated.  The commission shall:</w:t>
      </w:r>
    </w:p>
    <w:p w:rsidR="003F3435" w:rsidRDefault="0032493E">
      <w:pPr>
        <w:spacing w:line="480" w:lineRule="auto"/>
        <w:ind w:firstLine="1440"/>
        <w:jc w:val="both"/>
      </w:pPr>
      <w:r>
        <w:t xml:space="preserve">(1)</w:t>
      </w:r>
      <w:r xml:space="preserve">
        <w:t> </w:t>
      </w:r>
      <w:r xml:space="preserve">
        <w:t> </w:t>
      </w:r>
      <w:r>
        <w:t xml:space="preserve">determine whether the violations pose a risk to the health or safety of children at a center or home; and</w:t>
      </w:r>
    </w:p>
    <w:p w:rsidR="003F3435" w:rsidRDefault="0032493E">
      <w:pPr>
        <w:spacing w:line="480" w:lineRule="auto"/>
        <w:ind w:firstLine="1440"/>
        <w:jc w:val="both"/>
      </w:pPr>
      <w:r>
        <w:t xml:space="preserve">(2)</w:t>
      </w:r>
      <w:r xml:space="preserve">
        <w:t> </w:t>
      </w:r>
      <w:r xml:space="preserve">
        <w:t> </w:t>
      </w:r>
      <w:r>
        <w:t xml:space="preserve">provide educational materials to centers and homes regarding:</w:t>
      </w:r>
    </w:p>
    <w:p w:rsidR="003F3435" w:rsidRDefault="0032493E">
      <w:pPr>
        <w:spacing w:line="480" w:lineRule="auto"/>
        <w:ind w:firstLine="2160"/>
        <w:jc w:val="both"/>
      </w:pPr>
      <w:r>
        <w:t xml:space="preserve">(A)</w:t>
      </w:r>
      <w:r xml:space="preserve">
        <w:t> </w:t>
      </w:r>
      <w:r xml:space="preserve">
        <w:t> </w:t>
      </w:r>
      <w:r>
        <w:t xml:space="preserve">the importance of following the identified licensing standards; and</w:t>
      </w:r>
    </w:p>
    <w:p w:rsidR="003F3435" w:rsidRDefault="0032493E">
      <w:pPr>
        <w:spacing w:line="480" w:lineRule="auto"/>
        <w:ind w:firstLine="2160"/>
        <w:jc w:val="both"/>
      </w:pPr>
      <w:r>
        <w:t xml:space="preserve">(B)</w:t>
      </w:r>
      <w:r xml:space="preserve">
        <w:t> </w:t>
      </w:r>
      <w:r xml:space="preserve">
        <w:t> </w:t>
      </w:r>
      <w:r>
        <w:t xml:space="preserve">ways to cure and prevent the identified violations.</w:t>
      </w:r>
    </w:p>
    <w:p w:rsidR="003F3435" w:rsidRDefault="0032493E">
      <w:pPr>
        <w:spacing w:line="480" w:lineRule="auto"/>
        <w:ind w:firstLine="720"/>
        <w:jc w:val="both"/>
      </w:pPr>
      <w:r>
        <w:t xml:space="preserve">(b)</w:t>
      </w:r>
      <w:r xml:space="preserve">
        <w:t> </w:t>
      </w:r>
      <w:r xml:space="preserve">
        <w:t> </w:t>
      </w:r>
      <w:r>
        <w:t xml:space="preserve">The Health and Human Services Commission may form a work group consisting of commission employees, child-care providers, community stakeholders, child-care workers, and parents of children attending a day-care center or family home to perform the study required by Subsection (a) of this section.</w:t>
      </w:r>
    </w:p>
    <w:p w:rsidR="003F3435" w:rsidRDefault="0032493E">
      <w:pPr>
        <w:spacing w:line="480" w:lineRule="auto"/>
        <w:ind w:firstLine="720"/>
        <w:jc w:val="both"/>
      </w:pPr>
      <w:r>
        <w:t xml:space="preserve">(c)</w:t>
      </w:r>
      <w:r xml:space="preserve">
        <w:t> </w:t>
      </w:r>
      <w:r xml:space="preserve">
        <w:t> </w:t>
      </w:r>
      <w:r>
        <w:t xml:space="preserve">The Health and Human Services Commission shall complete the study required by Subsection (a) of this section and submit a report on the study results to the legislature not later than September 1, 2026.</w:t>
      </w:r>
    </w:p>
    <w:p w:rsidR="003F3435" w:rsidRDefault="0032493E">
      <w:pPr>
        <w:spacing w:line="480" w:lineRule="auto"/>
        <w:ind w:firstLine="720"/>
        <w:jc w:val="both"/>
      </w:pPr>
      <w:r>
        <w:t xml:space="preserve">(d)</w:t>
      </w:r>
      <w:r xml:space="preserve">
        <w:t> </w:t>
      </w:r>
      <w:r xml:space="preserve">
        <w:t> </w:t>
      </w:r>
      <w:r>
        <w:t xml:space="preserve">This section expires September 1, 2027.</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2469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