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89R13794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4500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unconscionable prices charged by health care providers for health care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17, Business &amp; Commerce Code, is amended by adding Section 17.465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17.465.</w:t>
      </w:r>
      <w:r>
        <w:rPr>
          <w:u w:val="single"/>
        </w:rPr>
        <w:t xml:space="preserve"> </w:t>
      </w:r>
      <w:r>
        <w:rPr>
          <w:u w:val="single"/>
        </w:rPr>
        <w:t xml:space="preserve"> </w:t>
      </w:r>
      <w:r>
        <w:rPr>
          <w:u w:val="single"/>
        </w:rPr>
        <w:t xml:space="preserve">UNCONSCIONABLE PRICE FOR HEALTH CARE SERVICES.</w:t>
      </w:r>
      <w:r>
        <w:rPr>
          <w:u w:val="single"/>
        </w:rPr>
        <w:t xml:space="preserve"> </w:t>
      </w:r>
      <w:r>
        <w:rPr>
          <w:u w:val="single"/>
        </w:rPr>
        <w:t xml:space="preserve"> </w:t>
      </w:r>
      <w:r>
        <w:rPr>
          <w:u w:val="single"/>
        </w:rPr>
        <w:t xml:space="preserve">(a)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care" and "emergency facility" have the meanings assigned by Section 17.464, as that section existed before September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"Health care provider" means an individual or facility licensed, certified, or otherwise authorized to provide health care services in the ordinary course of business or professional practice and includes a physician.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"Health care services" includes emergency care provided in an emergency facility, as those terms are defined by Section 17.464, as that section existed before September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Section 17.46(a), the term "false, misleading, or deceptive acts or practices" includes a health care provider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health care services at an unconscionable price;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demands or charges an unconscionable price for or in connection with health care services provided by the health care provider.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consumer protection division may not bring an action under Section 17.47 for an act or practice described by Subsection (b) if the price alleged to be unconscionable is less than 200 percent of the average charge for the same or substantially similar health care services provided to other individuals by similar health care providers located in the same county or nearest county in which the health care provider is located, as applicable, according to data collected by the Department of State Health Services under Chapter 108, Health and Safety Code, and made available to the division, except as provided by Subsection (d). </w:t>
      </w:r>
      <w:r>
        <w:rPr>
          <w:u w:val="single"/>
        </w:rPr>
        <w:t xml:space="preserve"> </w:t>
      </w:r>
      <w:r>
        <w:rPr>
          <w:u w:val="single"/>
        </w:rPr>
        <w:t xml:space="preserve">If the health care services are emergency care provided in an emergency facility, the consumer protection division may not use data that includes prices for care provided in an urgent care setting or physician practice to establish the division's authority to investigate and pursue an action under this subchapter.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attorney general determines that the consumer protection division is unable to obtain the charge data described by Subsection (c), the attorney general may adopt rules designating another source of charge data for use by the division in establishing the average charge for health care services provided by health care providers for purposes of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an action brought under Section 17.47 to enforce this section, the consumer protection division may request, and the trier of fact may award the recovery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reasonable attorney's fees and court costs;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reasonable expenses incurred by the division in obtaining any remedy available under Section 17.47, including the cost of investigation, witness fees, and deposition expenses.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create a private cause of action for a false, misleading, or deceptive act or practice described by Subsection (b).</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17.464, Business &amp; Commerce Code,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health care services provided on or after the effective date of this Act. Health care services provided before the effective date of this Act are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