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2025S0127-T  02/21/25</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Smithee</w:t>
      </w:r>
      <w:r xml:space="preserve">
        <w:tab wTab="150" tlc="none" cTlc="0"/>
      </w:r>
      <w:r>
        <w:t xml:space="preserve">H.B.</w:t>
      </w:r>
      <w:r xml:space="preserve">
        <w:t> </w:t>
      </w:r>
      <w:r>
        <w:t xml:space="preserve">No.</w:t>
      </w:r>
      <w:r xml:space="preserve">
        <w:t> </w:t>
      </w:r>
      <w:r>
        <w:t xml:space="preserve">4502</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development and implementation of an all-hazards court security plan, composition and recommendations of court security committees, and increasing the penalty for certain criminal offenses committed against an employee of a court or the office.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29.014, Government Code, is amended by amending Subsections (c) and (d) and adding Subsection (e) to read as follows:</w:t>
      </w:r>
    </w:p>
    <w:p w:rsidR="003F3435" w:rsidRDefault="0032493E">
      <w:pPr>
        <w:spacing w:line="480" w:lineRule="auto"/>
        <w:ind w:firstLine="720"/>
        <w:jc w:val="both"/>
      </w:pPr>
      <w:r>
        <w:t xml:space="preserve">(c)</w:t>
      </w:r>
      <w:r xml:space="preserve">
        <w:t> </w:t>
      </w:r>
      <w:r xml:space="preserve">
        <w:t> </w:t>
      </w:r>
      <w:r>
        <w:t xml:space="preserve">The committee shall establish the policies and procedures </w:t>
      </w:r>
      <w:r>
        <w:rPr>
          <w:u w:val="single"/>
        </w:rPr>
        <w:t xml:space="preserve">including a court emergency management plan</w:t>
      </w:r>
      <w:r>
        <w:t xml:space="preserve"> necessary to provide adequate security to the municipal courts served by the presiding or municipal judge, as applicable.</w:t>
      </w:r>
    </w:p>
    <w:p w:rsidR="003F3435" w:rsidRDefault="0032493E">
      <w:pPr>
        <w:spacing w:line="480" w:lineRule="auto"/>
        <w:ind w:firstLine="720"/>
        <w:jc w:val="both"/>
      </w:pPr>
      <w:r>
        <w:t xml:space="preserve">(d)</w:t>
      </w:r>
      <w:r xml:space="preserve">
        <w:t> </w:t>
      </w:r>
      <w:r xml:space="preserve">
        <w:t> </w:t>
      </w:r>
      <w:r>
        <w:t xml:space="preserve">A committee </w:t>
      </w:r>
      <w:r>
        <w:rPr>
          <w:u w:val="single"/>
        </w:rPr>
        <w:t xml:space="preserve">shall</w:t>
      </w:r>
      <w:r>
        <w:t xml:space="preserve"> [</w:t>
      </w:r>
      <w:r>
        <w:rPr>
          <w:strike/>
        </w:rPr>
        <w:t xml:space="preserve">may</w:t>
      </w:r>
      <w:r>
        <w:t xml:space="preserve">] recommend to the municipality the uses of resources and expenditures of money for courthouse security, but may not direct the assignment of those resources or the expenditure of those funds. </w:t>
      </w:r>
      <w:r>
        <w:rPr>
          <w:u w:val="single"/>
        </w:rPr>
        <w:t xml:space="preserve">The municipality shall give preference to the court security committee's recommendations regarding the expenditures of funds when considering use of funds collected under the Code of Criminal Procedure Art. 102.017.</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court security committee established under Sec. 74.092(13) is not a governmental body as defined under Sec. 551.001(3).</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30.00007, Government Code, is amended by amending Subsections (b) and (c) and adding Subsection (d) to read as follows:</w:t>
      </w:r>
    </w:p>
    <w:p w:rsidR="003F3435" w:rsidRDefault="0032493E">
      <w:pPr>
        <w:spacing w:line="480" w:lineRule="auto"/>
        <w:ind w:firstLine="720"/>
        <w:jc w:val="both"/>
      </w:pPr>
      <w:r>
        <w:t xml:space="preserve">(b)</w:t>
      </w:r>
      <w:r xml:space="preserve">
        <w:t> </w:t>
      </w:r>
      <w:r xml:space="preserve">
        <w:t> </w:t>
      </w:r>
      <w:r>
        <w:t xml:space="preserve">The presiding judge shall:</w:t>
      </w:r>
    </w:p>
    <w:p w:rsidR="003F3435" w:rsidRDefault="0032493E">
      <w:pPr>
        <w:spacing w:line="480" w:lineRule="auto"/>
        <w:ind w:firstLine="1440"/>
        <w:jc w:val="both"/>
      </w:pPr>
      <w:r>
        <w:t xml:space="preserve">(1)</w:t>
      </w:r>
      <w:r xml:space="preserve">
        <w:t> </w:t>
      </w:r>
      <w:r xml:space="preserve">
        <w:t> </w:t>
      </w:r>
      <w:r>
        <w:t xml:space="preserve">maintain a central docket for cases filed within the territorial limits of the municipality over which the municipal courts of record have jurisdiction;</w:t>
      </w:r>
    </w:p>
    <w:p w:rsidR="003F3435" w:rsidRDefault="0032493E">
      <w:pPr>
        <w:spacing w:line="480" w:lineRule="auto"/>
        <w:ind w:firstLine="1440"/>
        <w:jc w:val="both"/>
      </w:pPr>
      <w:r>
        <w:t xml:space="preserve">(2)</w:t>
      </w:r>
      <w:r xml:space="preserve">
        <w:t> </w:t>
      </w:r>
      <w:r xml:space="preserve">
        <w:t> </w:t>
      </w:r>
      <w:r>
        <w:t xml:space="preserve">provide for the distribution of cases from the central docket to the individual municipal judges to equalize the distribution of business in the courts;</w:t>
      </w:r>
    </w:p>
    <w:p w:rsidR="003F3435" w:rsidRDefault="0032493E">
      <w:pPr>
        <w:spacing w:line="480" w:lineRule="auto"/>
        <w:ind w:firstLine="1440"/>
        <w:jc w:val="both"/>
      </w:pPr>
      <w:r>
        <w:t xml:space="preserve">(3)</w:t>
      </w:r>
      <w:r xml:space="preserve">
        <w:t> </w:t>
      </w:r>
      <w:r xml:space="preserve">
        <w:t> </w:t>
      </w:r>
      <w:r>
        <w:t xml:space="preserve">request the jurors needed for cases that are set for trial by jury;</w:t>
      </w:r>
    </w:p>
    <w:p w:rsidR="003F3435" w:rsidRDefault="0032493E">
      <w:pPr>
        <w:spacing w:line="480" w:lineRule="auto"/>
        <w:ind w:firstLine="1440"/>
        <w:jc w:val="both"/>
      </w:pPr>
      <w:r>
        <w:t xml:space="preserve">(4)</w:t>
      </w:r>
      <w:r xml:space="preserve">
        <w:t> </w:t>
      </w:r>
      <w:r xml:space="preserve">
        <w:t> </w:t>
      </w:r>
      <w:r>
        <w:t xml:space="preserve">temporarily assign judges or substitute judges to exchange benches and to act for each other in a proceeding pending in a court if necessary for the expeditious disposition of business in the courts;</w:t>
      </w:r>
    </w:p>
    <w:p w:rsidR="003F3435" w:rsidRDefault="0032493E">
      <w:pPr>
        <w:spacing w:line="480" w:lineRule="auto"/>
        <w:ind w:firstLine="1440"/>
        <w:jc w:val="both"/>
      </w:pPr>
      <w:r>
        <w:t xml:space="preserve">(5)</w:t>
      </w:r>
      <w:r xml:space="preserve">
        <w:t> </w:t>
      </w:r>
      <w:r xml:space="preserve">
        <w:t> </w:t>
      </w:r>
      <w:r>
        <w:t xml:space="preserve">supervise and control the operation and clerical functions of the administrative department of each court, including the court's personnel, during the proceedings of the court; and</w:t>
      </w:r>
    </w:p>
    <w:p w:rsidR="003F3435" w:rsidRDefault="0032493E">
      <w:pPr>
        <w:spacing w:line="480" w:lineRule="auto"/>
        <w:ind w:firstLine="1440"/>
        <w:jc w:val="both"/>
      </w:pPr>
      <w:r>
        <w:t xml:space="preserve">(6)</w:t>
      </w:r>
      <w:r xml:space="preserve">
        <w:t> </w:t>
      </w:r>
      <w:r xml:space="preserve">
        <w:t> </w:t>
      </w:r>
      <w:r>
        <w:t xml:space="preserve">establish a court security committee to adopt security policies and procedures </w:t>
      </w:r>
      <w:r>
        <w:rPr>
          <w:u w:val="single"/>
        </w:rPr>
        <w:t xml:space="preserve">including a court emergency management plan</w:t>
      </w:r>
      <w:r>
        <w:t xml:space="preserve"> for the courts served by the presiding judge that is composed of:</w:t>
      </w:r>
    </w:p>
    <w:p w:rsidR="003F3435" w:rsidRDefault="0032493E">
      <w:pPr>
        <w:spacing w:line="480" w:lineRule="auto"/>
        <w:ind w:firstLine="2160"/>
        <w:jc w:val="both"/>
      </w:pPr>
      <w:r>
        <w:t xml:space="preserve">(A)</w:t>
      </w:r>
      <w:r xml:space="preserve">
        <w:t> </w:t>
      </w:r>
      <w:r xml:space="preserve">
        <w:t> </w:t>
      </w:r>
      <w:r>
        <w:t xml:space="preserve">the presiding judge, or the presiding judge's designee, who serves as presiding officer of the committee;</w:t>
      </w:r>
    </w:p>
    <w:p w:rsidR="003F3435" w:rsidRDefault="0032493E">
      <w:pPr>
        <w:spacing w:line="480" w:lineRule="auto"/>
        <w:ind w:firstLine="2160"/>
        <w:jc w:val="both"/>
      </w:pPr>
      <w:r>
        <w:t xml:space="preserve">(B)</w:t>
      </w:r>
      <w:r xml:space="preserve">
        <w:t> </w:t>
      </w:r>
      <w:r xml:space="preserve">
        <w:t> </w:t>
      </w:r>
      <w:r>
        <w:t xml:space="preserve">a representative of the law enforcement agency or other entity that provides the primary security for the court;</w:t>
      </w:r>
    </w:p>
    <w:p w:rsidR="003F3435" w:rsidRDefault="0032493E">
      <w:pPr>
        <w:spacing w:line="480" w:lineRule="auto"/>
        <w:ind w:firstLine="2160"/>
        <w:jc w:val="both"/>
      </w:pPr>
      <w:r>
        <w:t xml:space="preserve">(C)</w:t>
      </w:r>
      <w:r xml:space="preserve">
        <w:t> </w:t>
      </w:r>
      <w:r xml:space="preserve">
        <w:t> </w:t>
      </w:r>
      <w:r>
        <w:t xml:space="preserve">a representative of the municipality; and</w:t>
      </w:r>
    </w:p>
    <w:p w:rsidR="003F3435" w:rsidRDefault="0032493E">
      <w:pPr>
        <w:spacing w:line="480" w:lineRule="auto"/>
        <w:ind w:firstLine="2160"/>
        <w:jc w:val="both"/>
      </w:pPr>
      <w:r>
        <w:t xml:space="preserve">(D)</w:t>
      </w:r>
      <w:r xml:space="preserve">
        <w:t> </w:t>
      </w:r>
      <w:r xml:space="preserve">
        <w:t> </w:t>
      </w:r>
      <w:r>
        <w:t xml:space="preserve">any other person the committee determines necessary to assist the committee.</w:t>
      </w:r>
    </w:p>
    <w:p w:rsidR="003F3435" w:rsidRDefault="0032493E">
      <w:pPr>
        <w:spacing w:line="480" w:lineRule="auto"/>
        <w:ind w:firstLine="720"/>
        <w:jc w:val="both"/>
      </w:pPr>
      <w:r>
        <w:t xml:space="preserve">(c)</w:t>
      </w:r>
      <w:r xml:space="preserve">
        <w:t> </w:t>
      </w:r>
      <w:r xml:space="preserve">
        <w:t> </w:t>
      </w:r>
      <w:r>
        <w:t xml:space="preserve">A court security committee </w:t>
      </w:r>
      <w:r>
        <w:rPr>
          <w:u w:val="single"/>
        </w:rPr>
        <w:t xml:space="preserve">shall</w:t>
      </w:r>
      <w:r>
        <w:t xml:space="preserve"> [</w:t>
      </w:r>
      <w:r>
        <w:rPr>
          <w:strike/>
        </w:rPr>
        <w:t xml:space="preserve">may</w:t>
      </w:r>
      <w:r>
        <w:t xml:space="preserve">] recommend to the governing body the uses of resources and expenditures of money for courthouse security, but may not direct the assignment of those resources or the expenditure of those funds.  </w:t>
      </w:r>
      <w:r>
        <w:rPr>
          <w:u w:val="single"/>
        </w:rPr>
        <w:t xml:space="preserve">The municipality shall give preference to the court security committee's recommendations regarding the expenditures of funds when considering use of funds collected under Code of Criminal Procedure Art. 102.017.</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court security committee established under Sec. 74.092(13) is not a governmental body as defined under Sec. 551.001(3).</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72.015(c), Government Code, is amended to read as follows:</w:t>
      </w:r>
    </w:p>
    <w:p w:rsidR="003F3435" w:rsidRDefault="0032493E">
      <w:pPr>
        <w:spacing w:line="480" w:lineRule="auto"/>
        <w:ind w:firstLine="720"/>
        <w:jc w:val="both"/>
      </w:pPr>
      <w:r>
        <w:t xml:space="preserve">(c)</w:t>
      </w:r>
      <w:r xml:space="preserve">
        <w:t> </w:t>
      </w:r>
      <w:r xml:space="preserve">
        <w:t> </w:t>
      </w:r>
      <w:r>
        <w:t xml:space="preserve">The judicial security division shall:</w:t>
      </w:r>
    </w:p>
    <w:p w:rsidR="003F3435" w:rsidRDefault="0032493E">
      <w:pPr>
        <w:spacing w:line="480" w:lineRule="auto"/>
        <w:ind w:firstLine="1440"/>
        <w:jc w:val="both"/>
      </w:pPr>
      <w:r>
        <w:t xml:space="preserve">(1)</w:t>
      </w:r>
      <w:r xml:space="preserve">
        <w:t> </w:t>
      </w:r>
      <w:r xml:space="preserve">
        <w:t> </w:t>
      </w:r>
      <w:r>
        <w:t xml:space="preserve">serve as a central resource for information on local and national best practices for court security and the safety of court personnel;</w:t>
      </w:r>
    </w:p>
    <w:p w:rsidR="003F3435" w:rsidRDefault="0032493E">
      <w:pPr>
        <w:spacing w:line="480" w:lineRule="auto"/>
        <w:ind w:firstLine="1440"/>
        <w:jc w:val="both"/>
      </w:pPr>
      <w:r>
        <w:t xml:space="preserve">(2)</w:t>
      </w:r>
      <w:r xml:space="preserve">
        <w:t> </w:t>
      </w:r>
      <w:r xml:space="preserve">
        <w:t> </w:t>
      </w:r>
      <w:r>
        <w:t xml:space="preserve">provide an expert opinion on the technical aspects of court security;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t xml:space="preserve">keep abreast of and provide training on recent court security improvements</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develop a model court emergency management plan as a resource for court security committees</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74.092, Government Code, is amended to read as follows:</w:t>
      </w:r>
    </w:p>
    <w:p w:rsidR="003F3435" w:rsidRDefault="0032493E">
      <w:pPr>
        <w:spacing w:line="480" w:lineRule="auto"/>
        <w:ind w:firstLine="720"/>
        <w:jc w:val="both"/>
      </w:pPr>
      <w:r>
        <w:t xml:space="preserve">Sec.</w:t>
      </w:r>
      <w:r xml:space="preserve">
        <w:t> </w:t>
      </w:r>
      <w:r>
        <w:t xml:space="preserve">74.092.</w:t>
      </w:r>
      <w:r xml:space="preserve">
        <w:t> </w:t>
      </w:r>
      <w:r xml:space="preserve">
        <w:t> </w:t>
      </w:r>
      <w:r>
        <w:t xml:space="preserve">DUTIES OF LOCAL ADMINISTRATIVE JUDGE.  (a)  A local administrative judge, for the courts for which the judge serves as local administrative judge, shall:</w:t>
      </w:r>
    </w:p>
    <w:p w:rsidR="003F3435" w:rsidRDefault="0032493E">
      <w:pPr>
        <w:spacing w:line="480" w:lineRule="auto"/>
        <w:ind w:firstLine="1440"/>
        <w:jc w:val="both"/>
      </w:pPr>
      <w:r>
        <w:t xml:space="preserve">(1)</w:t>
      </w:r>
      <w:r xml:space="preserve">
        <w:t> </w:t>
      </w:r>
      <w:r xml:space="preserve">
        <w:t> </w:t>
      </w:r>
      <w:r>
        <w:t xml:space="preserve">implement and execute the local rules of administration, including the assignment, docketing, transfer, and hearing of cases;</w:t>
      </w:r>
    </w:p>
    <w:p w:rsidR="003F3435" w:rsidRDefault="0032493E">
      <w:pPr>
        <w:spacing w:line="480" w:lineRule="auto"/>
        <w:ind w:firstLine="1440"/>
        <w:jc w:val="both"/>
      </w:pPr>
      <w:r>
        <w:t xml:space="preserve">(2)</w:t>
      </w:r>
      <w:r xml:space="preserve">
        <w:t> </w:t>
      </w:r>
      <w:r xml:space="preserve">
        <w:t> </w:t>
      </w:r>
      <w:r>
        <w:t xml:space="preserve">appoint any special or standing committees necessary or desirable for court management and administration;</w:t>
      </w:r>
    </w:p>
    <w:p w:rsidR="003F3435" w:rsidRDefault="0032493E">
      <w:pPr>
        <w:spacing w:line="480" w:lineRule="auto"/>
        <w:ind w:firstLine="1440"/>
        <w:jc w:val="both"/>
      </w:pPr>
      <w:r>
        <w:t xml:space="preserve">(3)</w:t>
      </w:r>
      <w:r xml:space="preserve">
        <w:t> </w:t>
      </w:r>
      <w:r xml:space="preserve">
        <w:t> </w:t>
      </w:r>
      <w:r>
        <w:t xml:space="preserve">promulgate local rules of administration if the other judges do not act by a majority vote;</w:t>
      </w:r>
    </w:p>
    <w:p w:rsidR="003F3435" w:rsidRDefault="0032493E">
      <w:pPr>
        <w:spacing w:line="480" w:lineRule="auto"/>
        <w:ind w:firstLine="1440"/>
        <w:jc w:val="both"/>
      </w:pPr>
      <w:r>
        <w:t xml:space="preserve">(4)</w:t>
      </w:r>
      <w:r xml:space="preserve">
        <w:t> </w:t>
      </w:r>
      <w:r xml:space="preserve">
        <w:t> </w:t>
      </w:r>
      <w:r>
        <w:t xml:space="preserve">recommend to the regional presiding judge any needs for assignment from outside the county to dispose of court caseloads;</w:t>
      </w:r>
    </w:p>
    <w:p w:rsidR="003F3435" w:rsidRDefault="0032493E">
      <w:pPr>
        <w:spacing w:line="480" w:lineRule="auto"/>
        <w:ind w:firstLine="1440"/>
        <w:jc w:val="both"/>
      </w:pPr>
      <w:r>
        <w:t xml:space="preserve">(5)</w:t>
      </w:r>
      <w:r xml:space="preserve">
        <w:t> </w:t>
      </w:r>
      <w:r xml:space="preserve">
        <w:t> </w:t>
      </w:r>
      <w:r>
        <w:t xml:space="preserve">supervise the expeditious movement of court caseloads, subject to local, regional, and state rules of administration;</w:t>
      </w:r>
    </w:p>
    <w:p w:rsidR="003F3435" w:rsidRDefault="0032493E">
      <w:pPr>
        <w:spacing w:line="480" w:lineRule="auto"/>
        <w:ind w:firstLine="1440"/>
        <w:jc w:val="both"/>
      </w:pPr>
      <w:r>
        <w:t xml:space="preserve">(6)</w:t>
      </w:r>
      <w:r xml:space="preserve">
        <w:t> </w:t>
      </w:r>
      <w:r xml:space="preserve">
        <w:t> </w:t>
      </w:r>
      <w:r>
        <w:t xml:space="preserve">provide the supreme court and the office of court administration requested statistical and management information;</w:t>
      </w:r>
    </w:p>
    <w:p w:rsidR="003F3435" w:rsidRDefault="0032493E">
      <w:pPr>
        <w:spacing w:line="480" w:lineRule="auto"/>
        <w:ind w:firstLine="1440"/>
        <w:jc w:val="both"/>
      </w:pPr>
      <w:r>
        <w:t xml:space="preserve">(7)</w:t>
      </w:r>
      <w:r xml:space="preserve">
        <w:t> </w:t>
      </w:r>
      <w:r xml:space="preserve">
        <w:t> </w:t>
      </w:r>
      <w:r>
        <w:t xml:space="preserve">set the hours and places for holding court in the county;</w:t>
      </w:r>
    </w:p>
    <w:p w:rsidR="003F3435" w:rsidRDefault="0032493E">
      <w:pPr>
        <w:spacing w:line="480" w:lineRule="auto"/>
        <w:ind w:firstLine="1440"/>
        <w:jc w:val="both"/>
      </w:pPr>
      <w:r>
        <w:t xml:space="preserve">(8)</w:t>
      </w:r>
      <w:r xml:space="preserve">
        <w:t> </w:t>
      </w:r>
      <w:r xml:space="preserve">
        <w:t> </w:t>
      </w:r>
      <w:r>
        <w:t xml:space="preserve">supervise the employment and performance of nonjudicial personnel;</w:t>
      </w:r>
    </w:p>
    <w:p w:rsidR="003F3435" w:rsidRDefault="0032493E">
      <w:pPr>
        <w:spacing w:line="480" w:lineRule="auto"/>
        <w:ind w:firstLine="1440"/>
        <w:jc w:val="both"/>
      </w:pPr>
      <w:r>
        <w:t xml:space="preserve">(9)</w:t>
      </w:r>
      <w:r xml:space="preserve">
        <w:t> </w:t>
      </w:r>
      <w:r xml:space="preserve">
        <w:t> </w:t>
      </w:r>
      <w:r>
        <w:t xml:space="preserve">supervise the budget and fiscal matters of the local courts, subject to local rules of administration;</w:t>
      </w:r>
    </w:p>
    <w:p w:rsidR="003F3435" w:rsidRDefault="0032493E">
      <w:pPr>
        <w:spacing w:line="480" w:lineRule="auto"/>
        <w:ind w:firstLine="1440"/>
        <w:jc w:val="both"/>
      </w:pPr>
      <w:r>
        <w:t xml:space="preserve">(10)</w:t>
      </w:r>
      <w:r xml:space="preserve">
        <w:t> </w:t>
      </w:r>
      <w:r xml:space="preserve">
        <w:t> </w:t>
      </w:r>
      <w:r>
        <w:t xml:space="preserve">coordinate and cooperate with any other local administrative judge in the district in the assignment of cases in the courts' concurrent jurisdiction for the efficient operation of the court system and the effective administration of justice;</w:t>
      </w:r>
    </w:p>
    <w:p w:rsidR="003F3435" w:rsidRDefault="0032493E">
      <w:pPr>
        <w:spacing w:line="480" w:lineRule="auto"/>
        <w:ind w:firstLine="1440"/>
        <w:jc w:val="both"/>
      </w:pPr>
      <w:r>
        <w:t xml:space="preserve">(11)</w:t>
      </w:r>
      <w:r xml:space="preserve">
        <w:t> </w:t>
      </w:r>
      <w:r xml:space="preserve">
        <w:t> </w:t>
      </w:r>
      <w:r>
        <w:t xml:space="preserve">if requested by the courts the judge serves, establish and maintain the lists required by Section 37.003 and ensure appointments are made from the lists in accordance with Section 37.004;</w:t>
      </w:r>
    </w:p>
    <w:p w:rsidR="003F3435" w:rsidRDefault="0032493E">
      <w:pPr>
        <w:spacing w:line="480" w:lineRule="auto"/>
        <w:ind w:firstLine="1440"/>
        <w:jc w:val="both"/>
      </w:pPr>
      <w:r>
        <w:t xml:space="preserve">(12)</w:t>
      </w:r>
      <w:r xml:space="preserve">
        <w:t> </w:t>
      </w:r>
      <w:r xml:space="preserve">
        <w:t> </w:t>
      </w:r>
      <w:r>
        <w:t xml:space="preserve">perform other duties as may be directed by the chief justice or a regional presiding judge; and</w:t>
      </w:r>
    </w:p>
    <w:p w:rsidR="003F3435" w:rsidRDefault="0032493E">
      <w:pPr>
        <w:spacing w:line="480" w:lineRule="auto"/>
        <w:ind w:firstLine="1440"/>
        <w:jc w:val="both"/>
      </w:pPr>
      <w:r>
        <w:t xml:space="preserve">(13)</w:t>
      </w:r>
      <w:r xml:space="preserve">
        <w:t> </w:t>
      </w:r>
      <w:r xml:space="preserve">
        <w:t> </w:t>
      </w:r>
      <w:r>
        <w:t xml:space="preserve">establish a court security committee to adopt security policies and procedures </w:t>
      </w:r>
      <w:r>
        <w:rPr>
          <w:u w:val="single"/>
        </w:rPr>
        <w:t xml:space="preserve">including a court emergency management plan</w:t>
      </w:r>
      <w:r>
        <w:t xml:space="preserve"> for the </w:t>
      </w:r>
      <w:r>
        <w:rPr>
          <w:u w:val="single"/>
        </w:rPr>
        <w:t xml:space="preserve">state and county trial courts in the county</w:t>
      </w:r>
      <w:r>
        <w:t xml:space="preserve"> [</w:t>
      </w:r>
      <w:r>
        <w:rPr>
          <w:strike/>
        </w:rPr>
        <w:t xml:space="preserve">courts served by the local administrative district judge</w:t>
      </w:r>
      <w:r>
        <w:t xml:space="preserve">] that is composed of:</w:t>
      </w:r>
    </w:p>
    <w:p w:rsidR="003F3435" w:rsidRDefault="0032493E">
      <w:pPr>
        <w:spacing w:line="480" w:lineRule="auto"/>
        <w:ind w:firstLine="2160"/>
        <w:jc w:val="both"/>
      </w:pPr>
      <w:r>
        <w:t xml:space="preserve">(A)</w:t>
      </w:r>
      <w:r xml:space="preserve">
        <w:t> </w:t>
      </w:r>
      <w:r xml:space="preserve">
        <w:t> </w:t>
      </w:r>
      <w:r>
        <w:t xml:space="preserve">the local administrative district judge, or the judge's designee, who serves as presiding officer of the committee;</w:t>
      </w:r>
    </w:p>
    <w:p w:rsidR="003F3435" w:rsidRDefault="0032493E">
      <w:pPr>
        <w:spacing w:line="480" w:lineRule="auto"/>
        <w:ind w:firstLine="2160"/>
        <w:jc w:val="both"/>
      </w:pPr>
      <w:r>
        <w:t xml:space="preserve">(B)</w:t>
      </w:r>
      <w:r xml:space="preserve">
        <w:t> </w:t>
      </w:r>
      <w:r xml:space="preserve">
        <w:t> </w:t>
      </w:r>
      <w:r>
        <w:t xml:space="preserve">a representative of the sheriff's office;</w:t>
      </w:r>
    </w:p>
    <w:p w:rsidR="003F3435" w:rsidRDefault="0032493E">
      <w:pPr>
        <w:spacing w:line="480" w:lineRule="auto"/>
        <w:ind w:firstLine="2160"/>
        <w:jc w:val="both"/>
      </w:pPr>
      <w:r>
        <w:t xml:space="preserve">(C)</w:t>
      </w:r>
      <w:r xml:space="preserve">
        <w:t> </w:t>
      </w:r>
      <w:r xml:space="preserve">
        <w:t> </w:t>
      </w:r>
      <w:r>
        <w:rPr>
          <w:u w:val="single"/>
        </w:rPr>
        <w:t xml:space="preserve">a representative of a constable's office;</w:t>
      </w:r>
    </w:p>
    <w:p w:rsidR="003F3435" w:rsidRDefault="0032493E">
      <w:pPr>
        <w:spacing w:line="480" w:lineRule="auto"/>
        <w:ind w:firstLine="2160"/>
        <w:jc w:val="both"/>
      </w:pPr>
      <w:r>
        <w:rPr>
          <w:u w:val="single"/>
        </w:rPr>
        <w:t xml:space="preserve">(D)</w:t>
      </w:r>
      <w:r xml:space="preserve">
        <w:t> </w:t>
      </w:r>
      <w:r xml:space="preserve">
        <w:t> </w:t>
      </w:r>
      <w:r>
        <w:t xml:space="preserve">a representative of the county commissioners court;</w:t>
      </w:r>
    </w:p>
    <w:p w:rsidR="003F3435" w:rsidRDefault="0032493E">
      <w:pPr>
        <w:spacing w:line="480" w:lineRule="auto"/>
        <w:ind w:firstLine="2160"/>
        <w:jc w:val="both"/>
      </w:pPr>
      <w:r>
        <w:rPr>
          <w:u w:val="single"/>
        </w:rPr>
        <w:t xml:space="preserve">(E)</w:t>
      </w:r>
      <w:r xml:space="preserve">
        <w:t> </w:t>
      </w:r>
      <w:r>
        <w:t xml:space="preserve">[</w:t>
      </w:r>
      <w:r>
        <w:rPr>
          <w:strike/>
        </w:rPr>
        <w:t xml:space="preserve">(D)</w:t>
      </w:r>
      <w:r>
        <w:t xml:space="preserve">]</w:t>
      </w:r>
      <w:r xml:space="preserve">
        <w:t> </w:t>
      </w:r>
      <w:r xml:space="preserve">
        <w:t> </w:t>
      </w:r>
      <w:r>
        <w:t xml:space="preserve">one judge of each type of court in the county other than a municipal court or a municipal court of record;</w:t>
      </w:r>
    </w:p>
    <w:p w:rsidR="003F3435" w:rsidRDefault="0032493E">
      <w:pPr>
        <w:spacing w:line="480" w:lineRule="auto"/>
        <w:ind w:firstLine="2160"/>
        <w:jc w:val="both"/>
      </w:pPr>
      <w:r>
        <w:rPr>
          <w:u w:val="single"/>
        </w:rPr>
        <w:t xml:space="preserve">(F)</w:t>
      </w:r>
      <w:r xml:space="preserve">
        <w:t> </w:t>
      </w:r>
      <w:r>
        <w:t xml:space="preserve">[</w:t>
      </w:r>
      <w:r>
        <w:rPr>
          <w:strike/>
        </w:rPr>
        <w:t xml:space="preserve">(E)</w:t>
      </w:r>
      <w:r>
        <w:t xml:space="preserve">]</w:t>
      </w:r>
      <w:r xml:space="preserve">
        <w:t> </w:t>
      </w:r>
      <w:r xml:space="preserve">
        <w:t> </w:t>
      </w:r>
      <w:r>
        <w:t xml:space="preserve">a representative of any county attorney's office, district attorney's office, or criminal district attorney's office that serves in the applicable courts; and</w:t>
      </w:r>
    </w:p>
    <w:p w:rsidR="003F3435" w:rsidRDefault="0032493E">
      <w:pPr>
        <w:spacing w:line="480" w:lineRule="auto"/>
        <w:ind w:firstLine="2160"/>
        <w:jc w:val="both"/>
      </w:pPr>
      <w:r>
        <w:rPr>
          <w:u w:val="single"/>
        </w:rPr>
        <w:t xml:space="preserve">(G)</w:t>
      </w:r>
      <w:r xml:space="preserve">
        <w:t> </w:t>
      </w:r>
      <w:r>
        <w:t xml:space="preserve">[</w:t>
      </w:r>
      <w:r>
        <w:rPr>
          <w:strike/>
        </w:rPr>
        <w:t xml:space="preserve">(F)</w:t>
      </w:r>
      <w:r>
        <w:t xml:space="preserve">]</w:t>
      </w:r>
      <w:r xml:space="preserve">
        <w:t> </w:t>
      </w:r>
      <w:r xml:space="preserve">
        <w:t> </w:t>
      </w:r>
      <w:r>
        <w:t xml:space="preserve">any other person the committee determines necessary to assist the committee.</w:t>
      </w:r>
    </w:p>
    <w:p w:rsidR="003F3435" w:rsidRDefault="0032493E">
      <w:pPr>
        <w:spacing w:line="480" w:lineRule="auto"/>
        <w:ind w:firstLine="720"/>
        <w:jc w:val="both"/>
      </w:pPr>
      <w:r>
        <w:t xml:space="preserve">(b)</w:t>
      </w:r>
      <w:r xml:space="preserve">
        <w:t> </w:t>
      </w:r>
      <w:r xml:space="preserve">
        <w:t> </w:t>
      </w:r>
      <w:r>
        <w:t xml:space="preserve">A court security committee </w:t>
      </w:r>
      <w:r>
        <w:rPr>
          <w:u w:val="single"/>
        </w:rPr>
        <w:t xml:space="preserve">shall</w:t>
      </w:r>
      <w:r>
        <w:t xml:space="preserve"> [</w:t>
      </w:r>
      <w:r>
        <w:rPr>
          <w:strike/>
        </w:rPr>
        <w:t xml:space="preserve">may</w:t>
      </w:r>
      <w:r>
        <w:t xml:space="preserve">] recommend to the county commissioners court the uses of resources and expenditures of money for courthouse security, but may not direct the assignment of those resources or the expenditure of those funds.  </w:t>
      </w:r>
      <w:r>
        <w:rPr>
          <w:u w:val="single"/>
        </w:rPr>
        <w:t xml:space="preserve">The commissioners court shall give preference to a court security committee's recommendations regarding the expenditures of funds when considering use of funds collected under Code of Criminal Procedure Art. 102.017.</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court security committee established under Sec. 74.092(13) is not a governmental body as defined under Sec. 551.001(3).</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1.07(a), Penal Code, is amended by adding Subdivision (14-a) to read as follows:</w:t>
      </w:r>
    </w:p>
    <w:p w:rsidR="003F3435" w:rsidRDefault="0032493E">
      <w:pPr>
        <w:spacing w:line="480" w:lineRule="auto"/>
        <w:ind w:firstLine="1440"/>
        <w:jc w:val="both"/>
      </w:pPr>
      <w:r>
        <w:rPr>
          <w:u w:val="single"/>
        </w:rPr>
        <w:t xml:space="preserve">(14-a)  "Court personnel" is an employee whose duties are performed on behalf of the administration of a court, including but not limited to a court clerk, court coordinator, court administrator, law clerk, and staff attorney.</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42.07, Penal Code, is amended by adding Subsection (c-1) to read as follows:</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Notwithstanding Subsection (c), an offense under this section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Class A misdemeanor if the offense was committed against court personnel;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state jail felony if the offense was committed:</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against court personnel and the actor has been previously convicted under this section;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against a judge;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third-degree felony if the offense was committed against a judge and the actor has been previously convicted under this section.</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The changes in law made by this Act to Sections 1.07(a) and 42.07, Penal Code,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As soon as practicable after the effective date of this Act, a court security committee shall develop an all-hazards court security plan as required by Section 29.014, 30.00007, or 74.092, Government Code, as amended by this Act.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To the extent of any conflict, this Act prevails over another Act of the 89th Legislature, Regular Session, 2025,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4502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