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4468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the acceptance of certain compensation or employment by current or former members of the legislature for work involving bond services;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572, Government Code, is amended by adding Section 572.062 to read as foll</w:t>
      </w:r>
      <w:r>
        <w:t xml:space="preserve">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572.062.</w:t>
      </w:r>
      <w:r>
        <w:rPr>
          <w:u w:val="single"/>
        </w:rPr>
        <w:t xml:space="preserve"> </w:t>
      </w:r>
      <w:r>
        <w:rPr>
          <w:u w:val="single"/>
        </w:rPr>
        <w:t xml:space="preserve"> </w:t>
      </w:r>
      <w:r>
        <w:rPr>
          <w:u w:val="single"/>
        </w:rPr>
        <w:t xml:space="preserve">CERTAIN COMPENSATION AND EMPLOYMENT BY CURRENT OR FORMER MEMBERS OF LEGISLATURE PROVIDING BOND SERVICES PROHIBITED.  (a)  Notwithstanding any other law, an individual may not accept compensation or employment from a person that receives money from any proceeds in connection with the issuance of bonds if the individual provided financial advice, bond counsel, bond underwriting, or another professional service associated with the issuance of the bonds while the individual was a member of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prohibition under Subsection (a) applies until the 10th anniversary of the later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bonds are issued;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the individual ceases to be a member of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commits an offense if the person violates this section.  An offense under this section is a Class A misdemeanor.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572.062, Government Code, as added by this Act, applies only to compensation paid or employment that commences on or after the effective date of this Act.  Compensation that is paid or employment that commences before the effective date of this Act is governed by the law in effect on the date the compensation was paid or the employment commenced,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