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89R4191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Garcia of Bexar</w:t>
      </w:r>
      <w:r xml:space="preserve">
        <w:tab wTab="150" tlc="none" cTlc="0"/>
      </w:r>
      <w:r>
        <w:t xml:space="preserve">H.B.</w:t>
      </w:r>
      <w:r xml:space="preserve">
        <w:t> </w:t>
      </w:r>
      <w:r>
        <w:t xml:space="preserve">No.</w:t>
      </w:r>
      <w:r xml:space="preserve">
        <w:t> </w:t>
      </w:r>
      <w:r>
        <w:t xml:space="preserve">4452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protection of the rights of conscience for child welfare services providers.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54.009(b),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may not adopt a rule that violates Chapter 110, Civil Practice and Remedies Code[</w:t>
      </w:r>
      <w:r>
        <w:rPr>
          <w:strike/>
        </w:rPr>
        <w:t xml:space="preserve">, or Chapter 45, Human Resources Code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54.010, Health and Safety Code, is amended to read as follows:</w:t>
      </w:r>
    </w:p>
    <w:p w:rsidR="003F3435" w:rsidRDefault="0032493E">
      <w:pPr>
        <w:spacing w:line="480" w:lineRule="auto"/>
        <w:ind w:firstLine="720"/>
        <w:jc w:val="both"/>
      </w:pPr>
      <w:r>
        <w:t xml:space="preserve">Sec.</w:t>
      </w:r>
      <w:r xml:space="preserve">
        <w:t> </w:t>
      </w:r>
      <w:r>
        <w:t xml:space="preserve">54.010.</w:t>
      </w:r>
      <w:r xml:space="preserve">
        <w:t> </w:t>
      </w:r>
      <w:r xml:space="preserve">
        <w:t> </w:t>
      </w:r>
      <w:r>
        <w:t xml:space="preserve">PROHIBITED CONTRACT TERMS.</w:t>
      </w:r>
      <w:r xml:space="preserve">
        <w:t> </w:t>
      </w:r>
      <w:r xml:space="preserve">
        <w:t> </w:t>
      </w:r>
      <w:r>
        <w:t xml:space="preserve">A contract under this chapter may not include a provision that violates Chapter 110, Civil Practice and Remedies Code[</w:t>
      </w:r>
      <w:r>
        <w:rPr>
          <w:strike/>
        </w:rPr>
        <w:t xml:space="preserve">, or Chapter 45, Human Resources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45, Human Resources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repeal of Chapter 45, Human Resources Code, by this Act does not affect a cause of action or defense created by that chapter that arises as a result of conduct occurring before the effective date of this Act. </w:t>
      </w:r>
      <w:r>
        <w:t xml:space="preserve"> </w:t>
      </w:r>
      <w:r>
        <w:t xml:space="preserve">That cause of action or defense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