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89R8639 AJZ-F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Huffman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2219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certain procedures in connection with a bond forfeiture.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Article 17.19, Code of Criminal Procedure, is amended by amending Subsection (a) and adding Subsection (a-1)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rPr>
          <w:u w:val="single"/>
        </w:rPr>
        <w:t xml:space="preserve">Subject to Subsection (a-1), a</w:t>
      </w:r>
      <w:r>
        <w:t xml:space="preserve"> </w:t>
      </w:r>
      <w:r>
        <w:t xml:space="preserve">[</w:t>
      </w:r>
      <w:r>
        <w:rPr>
          <w:strike/>
        </w:rPr>
        <w:t xml:space="preserve">Any</w:t>
      </w:r>
      <w:r>
        <w:t xml:space="preserve">] surety </w:t>
      </w:r>
      <w:r>
        <w:rPr>
          <w:u w:val="single"/>
        </w:rPr>
        <w:t xml:space="preserve">that wants</w:t>
      </w:r>
      <w:r>
        <w:t xml:space="preserve">[</w:t>
      </w:r>
      <w:r>
        <w:rPr>
          <w:strike/>
        </w:rPr>
        <w:t xml:space="preserve">, desiring</w:t>
      </w:r>
      <w:r>
        <w:t xml:space="preserve">] to surrender </w:t>
      </w:r>
      <w:r>
        <w:rPr>
          <w:u w:val="single"/>
        </w:rPr>
        <w:t xml:space="preserve">the surety's</w:t>
      </w:r>
      <w:r>
        <w:t xml:space="preserve"> [</w:t>
      </w:r>
      <w:r>
        <w:rPr>
          <w:strike/>
        </w:rPr>
        <w:t xml:space="preserve">his</w:t>
      </w:r>
      <w:r>
        <w:t xml:space="preserve">] principal and </w:t>
      </w:r>
      <w:r>
        <w:rPr>
          <w:u w:val="single"/>
        </w:rPr>
        <w:t xml:space="preserve">has notified</w:t>
      </w:r>
      <w:r>
        <w:t xml:space="preserve"> [</w:t>
      </w:r>
      <w:r>
        <w:rPr>
          <w:strike/>
        </w:rPr>
        <w:t xml:space="preserve">after notifying</w:t>
      </w:r>
      <w:r>
        <w:t xml:space="preserve">] the principal's attorney, if the principal is represented by an attorney, in a manner provided by Rule 21a, Texas Rules of Civil Procedure, of the surety's intention to surrender the principal, may file an affidavit of </w:t>
      </w:r>
      <w:r>
        <w:rPr>
          <w:u w:val="single"/>
        </w:rPr>
        <w:t xml:space="preserve">that</w:t>
      </w:r>
      <w:r>
        <w:t xml:space="preserve"> [</w:t>
      </w:r>
      <w:r>
        <w:rPr>
          <w:strike/>
        </w:rPr>
        <w:t xml:space="preserve">such</w:t>
      </w:r>
      <w:r>
        <w:t xml:space="preserve">] intention before the court or magistrate before which the prosecution is pending. </w:t>
      </w:r>
      <w:r>
        <w:t xml:space="preserve"> </w:t>
      </w:r>
      <w:r>
        <w:t xml:space="preserve">The affidavit must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court and cause number of the case;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name of the defendant;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offense with which the defendant is charged;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of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cause for the surrender;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that notice of the surety's intention to surrender the principal has been given as required by this subsection </w:t>
      </w:r>
      <w:r>
        <w:rPr>
          <w:u w:val="single"/>
        </w:rPr>
        <w:t xml:space="preserve">and Subsection (a-1), if applicable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offense with which the defendant is charged is classified as a felony under the Penal Code, in addition to satisfying the requirements provided by Subsection (a), a surety must, before filing the affidavit described by that subsection,  notify the attorney representing the state with jurisdiction in the case of the surety's intention to surrender the principal.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2219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