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89R8223 AJZ-D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LaHood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4176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investigation of certain motor vehicle collisions.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Section 550.041, Transportation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550.041.</w:t>
      </w:r>
      <w:r xml:space="preserve">
        <w:t> </w:t>
      </w:r>
      <w:r xml:space="preserve">
        <w:t> </w:t>
      </w:r>
      <w:r>
        <w:t xml:space="preserve">INVESTIGATION BY PEACE OFFICER </w:t>
      </w:r>
      <w:r>
        <w:rPr>
          <w:u w:val="single"/>
        </w:rPr>
        <w:t xml:space="preserve">OR EMPLOYEE OF LAW ENFORCEMENT AGENCY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550.041, Transportation Code, is amended by amending Subsection (a) and adding Subsection (c)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peace officer who is notified of a motor vehicle collision resulting in injury to or death of a person or property damage to an apparent extent of at least </w:t>
      </w:r>
      <w:r>
        <w:rPr>
          <w:u w:val="single"/>
        </w:rPr>
        <w:t xml:space="preserve">$5,000</w:t>
      </w:r>
      <w:r>
        <w:t xml:space="preserve"> [</w:t>
      </w:r>
      <w:r>
        <w:rPr>
          <w:strike/>
        </w:rPr>
        <w:t xml:space="preserve">$1,000</w:t>
      </w:r>
      <w:r>
        <w:t xml:space="preserve">] may investigate the collision and file justifiable charges relating to the collision without regard to whether the collision occurred on property to which this chapter applies.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employee of a law enforcement agency who is not a peace officer, and who has successfully completed a training program on investigating motor vehicle collisions that satisfies any applicable requirements of Section 1701.253, Occupations Code, may investigate a motor vehicle collision, without regard to whether the collision occurred on property to which this chapter applies, if: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 offense was committed during the collision other than a misdemeanor punishable by fine only;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 injury or death of a person occurred as a result of the collision;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any property damage that resulted from the collision was to an apparent extent of less than $5,000.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Section 550.062, Transportation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550.062.</w:t>
      </w:r>
      <w:r xml:space="preserve">
        <w:t> </w:t>
      </w:r>
      <w:r xml:space="preserve">
        <w:t> </w:t>
      </w:r>
      <w:r>
        <w:t xml:space="preserve">OFFICER'S </w:t>
      </w:r>
      <w:r>
        <w:rPr>
          <w:u w:val="single"/>
        </w:rPr>
        <w:t xml:space="preserve">OR LAW ENFORCEMENT AGENCY EMPLOYEE'S</w:t>
      </w:r>
      <w:r>
        <w:t xml:space="preserve"> COLLISION REPORT.  (a)  A law enforcement officer who in the regular course of duty investigates a motor vehicle collision shall make a written report of the collision if the collision resulted in injury to or the death of a person or damage to the property of any one person to the apparent extent of </w:t>
      </w:r>
      <w:r>
        <w:rPr>
          <w:u w:val="single"/>
        </w:rPr>
        <w:t xml:space="preserve">$5,000</w:t>
      </w:r>
      <w:r>
        <w:t xml:space="preserve"> [</w:t>
      </w:r>
      <w:r>
        <w:rPr>
          <w:strike/>
        </w:rPr>
        <w:t xml:space="preserve">$1,000</w:t>
      </w:r>
      <w:r>
        <w:t xml:space="preserve">] or more.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(a-1)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employee of a law enforcement agency who is not a peace officer and who investigates a motor vehicle collision in accordance with Section 550.041(c) shall make a written report summarizing the findings of the investigation.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report required by Subsection (a) </w:t>
      </w:r>
      <w:r>
        <w:rPr>
          <w:u w:val="single"/>
        </w:rPr>
        <w:t xml:space="preserve">or (a-1)</w:t>
      </w:r>
      <w:r>
        <w:t xml:space="preserve"> must be filed electronically with the department not later than the 10th day after the date of the collision.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(b-1)</w:t>
      </w:r>
      <w:r xml:space="preserve">
        <w:t> </w:t>
      </w:r>
      <w:r xml:space="preserve">
        <w:t> </w:t>
      </w:r>
      <w:r>
        <w:t xml:space="preserve">If the motor vehicle collision involved a combination of vehicles operating under a permit issued under Section 623.402, the report required by Subsection (a) </w:t>
      </w:r>
      <w:r>
        <w:rPr>
          <w:u w:val="single"/>
        </w:rPr>
        <w:t xml:space="preserve">or (a-1)</w:t>
      </w:r>
      <w:r>
        <w:t xml:space="preserve"> must include the weight and the number of axles of the vehicle combination.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This section applies without regard to whether the officer </w:t>
      </w:r>
      <w:r>
        <w:rPr>
          <w:u w:val="single"/>
        </w:rPr>
        <w:t xml:space="preserve">or law enforcement agency employee, as applicable,</w:t>
      </w:r>
      <w:r>
        <w:t xml:space="preserve"> investigates the collision at the location of the collision and immediately after the collision or afterwards by interviewing those involved in the collision or witnesses to the collision.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4176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