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89R9074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4057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taxing unit to enter into an agreement to exempt from ad valorem taxation a portion of the value of property on which a renewable energy facility is located or is planned to be located.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380, Local Government Code, is amended by adding Section 380.005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380.005.</w:t>
      </w:r>
      <w:r>
        <w:rPr>
          <w:u w:val="single"/>
        </w:rPr>
        <w:t xml:space="preserve"> </w:t>
      </w:r>
      <w:r>
        <w:rPr>
          <w:u w:val="single"/>
        </w:rPr>
        <w:t xml:space="preserve"> </w:t>
      </w:r>
      <w:r>
        <w:rPr>
          <w:u w:val="single"/>
        </w:rPr>
        <w:t xml:space="preserve">PROHIBITION ON ABATEMENT OF TAXES ON CERTAIN RENEWABLE ENERGY FACILITY PROPERTY. </w:t>
      </w:r>
      <w:r>
        <w:rPr>
          <w:u w:val="single"/>
        </w:rPr>
        <w:t xml:space="preserve"> </w:t>
      </w:r>
      <w:r>
        <w:rPr>
          <w:u w:val="single"/>
        </w:rPr>
        <w:t xml:space="preserve">(a) </w:t>
      </w:r>
      <w:r>
        <w:rPr>
          <w:u w:val="single"/>
        </w:rPr>
        <w:t xml:space="preserve"> </w:t>
      </w:r>
      <w:r>
        <w:rPr>
          <w:u w:val="single"/>
        </w:rPr>
        <w:t xml:space="preserve">In this section, "renewable energy facility" has the meaning assigned by Section 312.0022,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renewable energy facility that sells energy or ancillary services at wholesale for a power grid.</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governing body of a municipality may not enter into an agreement authorized by this chapter to exempt from ad valorem taxation a portion of the value of real property on which a renewable energy facility is located or is planned to be located during the term of the agreement, or of tangible personal property that is located or is planned to be located on the real property during that term.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381, Local Government Code, is amended by adding Section 381.006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381.006.</w:t>
      </w:r>
      <w:r>
        <w:rPr>
          <w:u w:val="single"/>
        </w:rPr>
        <w:t xml:space="preserve"> </w:t>
      </w:r>
      <w:r>
        <w:rPr>
          <w:u w:val="single"/>
        </w:rPr>
        <w:t xml:space="preserve"> </w:t>
      </w:r>
      <w:r>
        <w:rPr>
          <w:u w:val="single"/>
        </w:rPr>
        <w:t xml:space="preserve">PROHIBITION ON ABATEMENT OF TAXES ON CERTAIN RENEWABLE ENERGY FACILITY PROPERTY. </w:t>
      </w:r>
      <w:r>
        <w:rPr>
          <w:u w:val="single"/>
        </w:rPr>
        <w:t xml:space="preserve"> </w:t>
      </w:r>
      <w:r>
        <w:rPr>
          <w:u w:val="single"/>
        </w:rPr>
        <w:t xml:space="preserve">(a) </w:t>
      </w:r>
      <w:r>
        <w:rPr>
          <w:u w:val="single"/>
        </w:rPr>
        <w:t xml:space="preserve"> </w:t>
      </w:r>
      <w:r>
        <w:rPr>
          <w:u w:val="single"/>
        </w:rPr>
        <w:t xml:space="preserve">In this section, "renewable energy facility" has the meaning assigned by Section 312.0022,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renewable energy facility that sells energy or ancillary services at wholesale for a power grid.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county industrial commission, or development board may not enter into an agreement authorized by this chapter to exempt from ad valorem taxation a portion of the value of real property on which a renewable energy facility is located or is planned to be located during the term of the agreement, or of tangible personal property that is located or is planned to be located on the real property during that term.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312, Tax Code, is amended by adding Section 312.0022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312.0022.</w:t>
      </w:r>
      <w:r>
        <w:rPr>
          <w:u w:val="single"/>
        </w:rPr>
        <w:t xml:space="preserve"> </w:t>
      </w:r>
      <w:r>
        <w:rPr>
          <w:u w:val="single"/>
        </w:rPr>
        <w:t xml:space="preserve"> </w:t>
      </w:r>
      <w:r>
        <w:rPr>
          <w:u w:val="single"/>
        </w:rPr>
        <w:t xml:space="preserve">PROHIBITION ON ABATEMENT OF TAXES ON CERTAIN RENEWABLE ENERGY FACILITY PROPERTY.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battery energy storage facility" means a facility at which is located an electrochemical device that collects, stores, and discharges energy, other than a device that collects, stores, and discharges energy generated from natural gas.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"Renewable energy facility"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qualifying battery energy storage facility;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solar power generation facility;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wind power generation facility.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"Solar power generation facility" means a facility designed and used to convert the radiant energy from the sun into thermal, mechanical, or electrical energy for distribution or sale.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"Wind power generation facility" means a facility designed and used to convert the energy available in the wind into thermal, mechanical, or electrical energy for distribution or sale.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renewable energy facility that sells energy or ancillary services at wholesale for a power grid.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governing body of a taxing unit may not enter into an agreement under this chapter to exempt from taxation a portion of the value of real property on which a renewable energy facility is located or is planned to be located during the term of the agreement, or of tangible personal property that is located or is planned to be located on the real property during that term.</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agreement entered into under Chapter 380 or 381, Local Government Code, or Chapter 312, Tax Code,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4057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