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89R15681 JBD-F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Rodríguez Ramos</w:t>
      </w:r>
      <w:r xml:space="preserve">
        <w:tab wTab="150" tlc="none" cTlc="0"/>
      </w:r>
      <w:r>
        <w:t xml:space="preserve">H.B.</w:t>
      </w:r>
      <w:r xml:space="preserve">
        <w:t> </w:t>
      </w:r>
      <w:r>
        <w:t xml:space="preserve">No.</w:t>
      </w:r>
      <w:r xml:space="preserve">
        <w:t> </w:t>
      </w:r>
      <w:r>
        <w:t xml:space="preserve">4052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sales and use taxes for certain resale clothing and footwear items.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H, Chapter 151, Tax Code, is amended by adding Section 151.3261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151.3261.</w:t>
      </w:r>
      <w:r>
        <w:rPr>
          <w:u w:val="single"/>
        </w:rPr>
        <w:t xml:space="preserve"> </w:t>
      </w:r>
      <w:r>
        <w:rPr>
          <w:u w:val="single"/>
        </w:rPr>
        <w:t xml:space="preserve"> </w:t>
      </w:r>
      <w:r>
        <w:rPr>
          <w:u w:val="single"/>
        </w:rPr>
        <w:t xml:space="preserve">RESALE CLOTHING.  (a) </w:t>
      </w:r>
      <w:r>
        <w:rPr>
          <w:u w:val="single"/>
        </w:rPr>
        <w:t xml:space="preserve"> </w:t>
      </w:r>
      <w:r>
        <w:rPr>
          <w:u w:val="single"/>
        </w:rPr>
        <w:t xml:space="preserve">In this section, "resale clothing" means clothing or footwear designed to be worn on or about the human body that was previously sold or used and is subsequently sold by a seller or retailer, including items of clothing and footwear sold by a thrift store, consignment shop, or similar establishment. </w:t>
      </w:r>
      <w:r>
        <w:rPr>
          <w:u w:val="single"/>
        </w:rPr>
        <w:t xml:space="preserve"> </w:t>
      </w:r>
      <w:r>
        <w:rPr>
          <w:u w:val="single"/>
        </w:rPr>
        <w:t xml:space="preserve">The term does not include clothing or footwear: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has been materially modified in a manner to intentionally increase its value significantly beyond its original resale price;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sold as a luxury or upcycled fashion item at a price higher than the typical resale value for similar used clothing or footwear;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immediately preceding sale of which qualified as a sale for resale for purposes of Section 151.302.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sale, storage, use, or other consumption of an article of resale clothing is exempted from the taxes imposed by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does not affect tax liability accruing before the effective date of this Act. </w:t>
      </w:r>
      <w:r>
        <w:t xml:space="preserve"> </w:t>
      </w:r>
      <w:r>
        <w:t xml:space="preserve">That liability continues in effect as if this Act had not been enacted, and the former law is continued in effect for the collection of taxes due and for civil and criminal enforcement of the liability for those taxes.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4052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