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88R8206 JES-D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Leo-Wilson</w:t>
      </w:r>
      <w:r xml:space="preserve">
        <w:tab wTab="150" tlc="none" cTlc="0"/>
      </w:r>
      <w:r>
        <w:t xml:space="preserve">H.B.</w:t>
      </w:r>
      <w:r xml:space="preserve">
        <w:t> </w:t>
      </w:r>
      <w:r>
        <w:t xml:space="preserve">No.</w:t>
      </w:r>
      <w:r xml:space="preserve">
        <w:t> </w:t>
      </w:r>
      <w:r>
        <w:t xml:space="preserve">3661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collection and publication of information regarding the use of environmental, social, or governance scores by certain financial institutions.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Z, Title 3, Finance Code, is amended by adding Chapter 272 to read as follows:</w:t>
      </w:r>
    </w:p>
    <w:p w:rsidR="003F3435" w:rsidRDefault="0032493E">
      <w:pPr>
        <w:spacing w:line="480" w:lineRule="auto"/>
        <w:jc w:val="center"/>
      </w:pPr>
      <w:r>
        <w:rPr>
          <w:u w:val="single"/>
        </w:rPr>
        <w:t xml:space="preserve">CHAPTER 272.  REPORTING REQUIREMENTS RELATING TO USE OF ENVIRONMENTAL, SOCIAL, OR GOVERNANCE SCORES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"Environmental, social, or governance score" means a score that is based on measuring a customer's exposure to long-term environmental, social, and governance risks.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"Financial institution"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bank chartered under state law, including Chapter 32;</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savings and loan association chartered under Chapter 62;</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state savings bank chartered under Chapter 92;</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credit union chartered under Chapter 122;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trust company chartered under the laws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272.002.</w:t>
      </w:r>
      <w:r>
        <w:rPr>
          <w:u w:val="single"/>
        </w:rPr>
        <w:t xml:space="preserve"> </w:t>
      </w:r>
      <w:r>
        <w:rPr>
          <w:u w:val="single"/>
        </w:rPr>
        <w:t xml:space="preserve"> </w:t>
      </w:r>
      <w:r>
        <w:rPr>
          <w:u w:val="single"/>
        </w:rPr>
        <w:t xml:space="preserve">COLLECTION OF INFORMATION FROM FINANCIAL INSTITUTIONS REGARDING USE OF ENVIRONMENTAL, SOCIAL, OR GOVERNANCE SCORES.  (a)  A financial institution shall provide nonconfidential information regarding the institution's policies for the use of environmental, social, or governance scores to the finance commission in the form and manner prescribed by the commission, including whether an environmental, social, or governance score affects the institution's determination of whether to make a loan or other extension of credit to a customer.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financial institution shall provide updated information to the commission under this section if the institution substantively changes the institution's policies regarding environmental, social, or governance scores.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272.003.</w:t>
      </w:r>
      <w:r>
        <w:rPr>
          <w:u w:val="single"/>
        </w:rPr>
        <w:t xml:space="preserve"> </w:t>
      </w:r>
      <w:r>
        <w:rPr>
          <w:u w:val="single"/>
        </w:rPr>
        <w:t xml:space="preserve"> </w:t>
      </w:r>
      <w:r>
        <w:rPr>
          <w:u w:val="single"/>
        </w:rPr>
        <w:t xml:space="preserve">TRANSFER TO COMPTROLLER.  The finance commission shall provide information collected under this chapter to the comptroller in the form and manner prescribed by the comptroller.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272.004.</w:t>
      </w:r>
      <w:r>
        <w:rPr>
          <w:u w:val="single"/>
        </w:rPr>
        <w:t xml:space="preserve"> </w:t>
      </w:r>
      <w:r>
        <w:rPr>
          <w:u w:val="single"/>
        </w:rPr>
        <w:t xml:space="preserve"> </w:t>
      </w:r>
      <w:r>
        <w:rPr>
          <w:u w:val="single"/>
        </w:rPr>
        <w:t xml:space="preserve">RULES.  The finance commission may adopt rules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403, Government Code, is amended by adding Section 403.0146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403.0146.</w:t>
      </w:r>
      <w:r>
        <w:rPr>
          <w:u w:val="single"/>
        </w:rPr>
        <w:t xml:space="preserve"> </w:t>
      </w:r>
      <w:r>
        <w:rPr>
          <w:u w:val="single"/>
        </w:rPr>
        <w:t xml:space="preserve"> </w:t>
      </w:r>
      <w:r>
        <w:rPr>
          <w:u w:val="single"/>
        </w:rPr>
        <w:t xml:space="preserve">PUBLICATION OF INFORMATION REGARDING USE OF ENVIRONMENTAL, SOCIAL, OR GOVERNANCE SCORES.  (a)  In this section, "environmental, social, or governance score" and "financial institution" have the meanings assigned by Section 272.001, Finance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comptroller shall publish on the comptroller's Internet website information regarding the use of environmental, social, or governance scores by financial institutions in this state using information collected under Chapter 272, Finance Code.  The information published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a list of each financial institution that has committed to not using environmental, social, or governance scores in lending in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written in language intended to be easily understood by consumers.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3661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