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89R14908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Hagenbuch</w:t>
      </w:r>
      <w:r xml:space="preserve">
        <w:tab wTab="150" tlc="none" cTlc="0"/>
      </w:r>
      <w:r>
        <w:t xml:space="preserve">S.B.</w:t>
      </w:r>
      <w:r xml:space="preserve">
        <w:t> </w:t>
      </w:r>
      <w:r>
        <w:t xml:space="preserve">No.</w:t>
      </w:r>
      <w:r xml:space="preserve">
        <w:t> </w:t>
      </w:r>
      <w:r>
        <w:t xml:space="preserve">1958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certain municipalities to use certain tax revenue for certain qualified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351.1015(b), Tax Code, as amended by Chapters 644 (H.B. 4559), 779 (H.B. 5012), 927 (S.B. 2220), and 1110 (S.B. 1057),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qualified project located in:</w:t>
      </w:r>
    </w:p>
    <w:p w:rsidR="003F3435" w:rsidRDefault="0032493E">
      <w:pPr>
        <w:spacing w:line="480" w:lineRule="auto"/>
        <w:ind w:firstLine="1440"/>
        <w:jc w:val="both"/>
      </w:pPr>
      <w:r>
        <w:t xml:space="preserve">(1)</w:t>
      </w:r>
      <w:r xml:space="preserve">
        <w:t> </w:t>
      </w:r>
      <w:r xml:space="preserve">
        <w:t> </w:t>
      </w:r>
      <w:r>
        <w:t xml:space="preserve">a municipality with a population of at least 700,000 but less than 950,000 according to the most recent federal decennial census;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a municipality that contains more than 70 percent of the population of a county with a population of 1.5 million or more</w:t>
      </w:r>
      <w:r>
        <w:rPr>
          <w:u w:val="single"/>
        </w:rPr>
        <w:t xml:space="preserve">;</w:t>
      </w:r>
    </w:p>
    <w:p w:rsidR="003F3435" w:rsidRDefault="0032493E">
      <w:pPr>
        <w:spacing w:line="480" w:lineRule="auto"/>
        <w:ind w:firstLine="1440"/>
        <w:jc w:val="both"/>
      </w:pPr>
      <w:r>
        <w:rPr>
          <w:u w:val="single"/>
        </w:rPr>
        <w:t xml:space="preserve">(3)</w:t>
      </w:r>
      <w:r xml:space="preserve">
        <w:t> </w:t>
      </w:r>
      <w:r>
        <w:t xml:space="preserve">[</w:t>
      </w:r>
      <w:r>
        <w:rPr>
          <w:strike/>
        </w:rPr>
        <w:t xml:space="preserve">(2)</w:t>
      </w:r>
      <w:r>
        <w:t xml:space="preserve">]</w:t>
      </w:r>
      <w:r xml:space="preserve">
        <w:t> </w:t>
      </w:r>
      <w:r xml:space="preserve">
        <w:t> </w:t>
      </w:r>
      <w:r>
        <w:t xml:space="preserve">a municipality described by Section 351.001(7)(B);</w:t>
      </w:r>
    </w:p>
    <w:p w:rsidR="003F3435" w:rsidRDefault="0032493E">
      <w:pPr>
        <w:spacing w:line="480" w:lineRule="auto"/>
        <w:ind w:firstLine="1440"/>
        <w:jc w:val="both"/>
      </w:pPr>
      <w:r>
        <w:rPr>
          <w:u w:val="single"/>
        </w:rPr>
        <w:t xml:space="preserve">(4)</w:t>
      </w:r>
      <w:r xml:space="preserve">
        <w:t> </w:t>
      </w:r>
      <w:r xml:space="preserve">
        <w:t> </w:t>
      </w:r>
      <w:r>
        <w:t xml:space="preserve">[</w:t>
      </w:r>
      <w:r>
        <w:rPr>
          <w:strike/>
        </w:rPr>
        <w:t xml:space="preserve">or</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a municipality described by Section 351.152(61)</w:t>
      </w:r>
      <w:r>
        <w:rPr>
          <w:u w:val="single"/>
        </w:rPr>
        <w:t xml:space="preserve">;</w:t>
      </w:r>
    </w:p>
    <w:p w:rsidR="003F3435" w:rsidRDefault="0032493E">
      <w:pPr>
        <w:spacing w:line="480" w:lineRule="auto"/>
        <w:ind w:firstLine="1440"/>
        <w:jc w:val="both"/>
      </w:pPr>
      <w:r>
        <w:rPr>
          <w:u w:val="single"/>
        </w:rPr>
        <w:t xml:space="preserve">(5)</w:t>
      </w:r>
      <w:r xml:space="preserve">
        <w:t> </w:t>
      </w:r>
      <w:r>
        <w:t xml:space="preserve">[</w:t>
      </w:r>
      <w:r>
        <w:rPr>
          <w:strike/>
        </w:rPr>
        <w:t xml:space="preserve">(2)</w:t>
      </w:r>
      <w:r>
        <w:t xml:space="preserve">]</w:t>
      </w:r>
      <w:r xml:space="preserve">
        <w:t> </w:t>
      </w:r>
      <w:r xml:space="preserve">
        <w:t> </w:t>
      </w:r>
      <w:r>
        <w:t xml:space="preserve">a municipality with a population of at least two million</w:t>
      </w:r>
      <w:r>
        <w:rPr>
          <w:u w:val="single"/>
        </w:rPr>
        <w:t xml:space="preserv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municipality with a population of more than 285,000 that is wholly located in two counties, each with a population of more than 900,000</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To the extent of any conflict, this Act prevails over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1958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