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89R11639 MEW-D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1874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immunity from certain disciplinary proceedings against a professional employee of a school district for certain actions concerning public school discipline and law and order.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B, Chapter 22, Education Code, is amended by adding Section 22.05121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22.05121.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IMMUNITY FROM DISCIPLINARY PROCEEDINGS FOR ACTIONS RELATED TO DISCIPLINE AND LAW AND ORDER.  (a) </w:t>
      </w:r>
      <w:r>
        <w:rPr>
          <w:u w:val="single"/>
        </w:rPr>
        <w:t xml:space="preserve"> </w:t>
      </w:r>
      <w:r>
        <w:rPr>
          <w:u w:val="single"/>
        </w:rPr>
        <w:t xml:space="preserve">In this section, "disciplinary proceeding" means: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brought by the school district employing a professional employee of a school district to discharge or suspend the employee or terminate or not renew the employee's term contract;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or proceeding brought by the State Board for Educator Certification.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professional employee of a school district may not be subject to disciplinary proceedings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reporting of a violation of Chapter 37 to another professional employee of a school district, the agency, or a law enforcement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action taken in compliance with Chapter 37.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immunity provided by Subsection (b) is in addition to any other immunity provided by law. </w:t>
      </w:r>
      <w:r>
        <w:rPr>
          <w:u w:val="single"/>
        </w:rPr>
        <w:t xml:space="preserve"> </w:t>
      </w:r>
      <w:r>
        <w:rPr>
          <w:u w:val="single"/>
        </w:rPr>
        <w:t xml:space="preserve">This section may not be construed to interfere with any other immunity provided by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to a disciplinary proceeding for conduct that occurs before, on, or after the effective date of this Act, except that a disciplinary proceeding finally resolved before the effective date of this Act is unaffected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1874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