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89R3659 BCH-D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Buckley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3716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creation of criminal law magistrates for Bell County.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Chapter 54, Government Code, is amended by adding Subchapter EE to read as follows:</w:t>
      </w:r>
    </w:p>
    <w:p w:rsidR="003F3435" w:rsidRDefault="0032493E">
      <w:pPr>
        <w:spacing w:line="480" w:lineRule="auto"/>
        <w:jc w:val="center"/>
      </w:pPr>
      <w:r>
        <w:rPr>
          <w:u w:val="single"/>
        </w:rPr>
        <w:t xml:space="preserve">SUBCHAPTER EE. BELL COUNTY CRIMINAL MAGISTRATES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54.1601.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APPOINTMENT. </w:t>
      </w:r>
      <w:r>
        <w:rPr>
          <w:u w:val="single"/>
        </w:rPr>
        <w:t xml:space="preserve"> </w:t>
      </w:r>
      <w:r>
        <w:rPr>
          <w:u w:val="single"/>
        </w:rPr>
        <w:t xml:space="preserve">(a) </w:t>
      </w:r>
      <w:r>
        <w:rPr>
          <w:u w:val="single"/>
        </w:rPr>
        <w:t xml:space="preserve"> </w:t>
      </w:r>
      <w:r>
        <w:rPr>
          <w:u w:val="single"/>
        </w:rPr>
        <w:t xml:space="preserve">The Commissioners Court of Bell County may select magistrates to serve the courts of Bell County having jurisdiction in criminal matters.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commissioners court shall establish the minimum qualifications, salary, benefits, and other compensation of each magistrate position and shall determine whether the position is full-time or part-time.  The qualifications must require the magistrate to: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have served as a justice of the peace or municipal court judge;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be an attorney licensed in this state.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magistrate appointed under this section serves at the pleasure of the commissioners court.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54.1602.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JURISDICTION. A magistrate has concurrent criminal jurisdiction with the judges of the justice of the peace courts of Bell County.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54.1603.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POWERS AND DUTIES.  (a) The Commissioners Court of Bell County shall establish the powers and duties of a magistrate appointed under this subchapter.  Except as otherwise provided by the commissioners court, a magistrate has the powers of a magistrate under the Code of Criminal Procedure and other laws of this state and may administer an oath for any purpose.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magistrate shall give preference to performing the duties of a magistrate under Article 15.17, Code of Criminal Procedure.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commissioners court may designate one or more magistrates to hold regular hearings to: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give admonishments;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set and review bail and conditions of release;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appoint legal counsel;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determine other routine matters relating to preindictment or pending cases within those courts' jurisdiction.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 the hearings provided under Subsection (c), a magistrate shall give preference to the case of an individual held in county jail.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(e)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magistrate may inquire into a defendant's intended plea to the charge and set the case for an appropriate hearing before a judge or master.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54.1604.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JUDICIAL IMMUNITY.  A magistrate has the same judicial immunity as a district judge.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54.1605.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WITNESSES.  (a)  A witness who is sworn and who appears before a magistrate is subject to the penalties for perjury and aggravated perjury provided by law.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referring court may fine or imprison a witness or other court participant for failure to appear after being summoned, refusal to answer questions, or other acts of direct contempt before a magistrate.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Article 2A.151, Code of Criminal Procedure, is amended to conform to Section 4.001, Chapter 861 (H.B. 3474), Acts of the 88th Legislature, Regular Session, 2023, and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Art.</w:t>
      </w:r>
      <w:r xml:space="preserve">
        <w:t> </w:t>
      </w:r>
      <w:r>
        <w:t xml:space="preserve">2A.151.</w:t>
      </w:r>
      <w:r xml:space="preserve">
        <w:t> </w:t>
      </w:r>
      <w:r xml:space="preserve">
        <w:t> </w:t>
      </w:r>
      <w:r>
        <w:t xml:space="preserve">TYPES OF MAGISTRATES.</w:t>
      </w:r>
      <w:r xml:space="preserve">
        <w:t> </w:t>
      </w:r>
      <w:r xml:space="preserve">
        <w:t> </w:t>
      </w:r>
      <w:r>
        <w:t xml:space="preserve">The following officers are magistrates for purposes of this code: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justice of the supreme court;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judge of the court of criminal appeals;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 justice of the courts of appeals;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a judge of a district court;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an associate judge appointed by: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 judge of a district court or a statutory county court that gives preference to criminal cases in Jefferson County;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judge of a district court or a statutory county court of Brazos County, Nueces County, or Williamson County;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judge of a district court under Chapter 54A, Government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a criminal magistrate appointed by: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rPr>
          <w:u w:val="single"/>
        </w:rPr>
        <w:t xml:space="preserve">the Bell County Commissioners Court;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(B)</w:t>
      </w:r>
      <w:r xml:space="preserve">
        <w:t> </w:t>
      </w:r>
      <w:r xml:space="preserve">
        <w:t> </w:t>
      </w:r>
      <w:r>
        <w:t xml:space="preserve">the Brazoria County Commissioners Court; or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(C)</w:t>
      </w:r>
      <w:r xml:space="preserve">
        <w:t> </w:t>
      </w:r>
      <w:r>
        <w:t xml:space="preserve">[</w:t>
      </w:r>
      <w:r>
        <w:rPr>
          <w:strike/>
        </w:rPr>
        <w:t xml:space="preserve">(B)</w:t>
      </w:r>
      <w:r>
        <w:t xml:space="preserve">]</w:t>
      </w:r>
      <w:r xml:space="preserve">
        <w:t> </w:t>
      </w:r>
      <w:r xml:space="preserve">
        <w:t> </w:t>
      </w:r>
      <w:r>
        <w:t xml:space="preserve">the Burnet County Commissioners Court;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(7)</w:t>
      </w:r>
      <w:r xml:space="preserve">
        <w:t> </w:t>
      </w:r>
      <w:r xml:space="preserve">
        <w:t> </w:t>
      </w:r>
      <w:r>
        <w:t xml:space="preserve">a criminal law hearing officer for: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Harris County appointed under Subchapter L, Chapter 54, Government Code;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Cameron County appointed under Subchapter BB, Chapter 54, Government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(8)</w:t>
      </w:r>
      <w:r xml:space="preserve">
        <w:t> </w:t>
      </w:r>
      <w:r xml:space="preserve">
        <w:t> </w:t>
      </w:r>
      <w:r>
        <w:t xml:space="preserve">a magistrate appointed: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by a judge of a district court of Bexar County, Dallas County, or Tarrant County that gives preference to criminal cases;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by a judge of a criminal district court of Dallas County or Tarrant County;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rPr>
          <w:u w:val="single"/>
        </w:rPr>
        <w:t xml:space="preserve">by a judge of a district court or statutory county court of Denton or Grayson County;</w:t>
      </w:r>
      <w:r xml:space="preserve">
        <w:t> </w:t>
      </w:r>
      <w:r xml:space="preserve">
        <w:t> 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(D)</w:t>
      </w:r>
      <w:r xml:space="preserve">
        <w:t> </w:t>
      </w:r>
      <w:r xml:space="preserve">
        <w:t> </w:t>
      </w:r>
      <w:r>
        <w:t xml:space="preserve">by a judge of a district court or statutory county court that gives preference to criminal cases in Travis County;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(E)</w:t>
      </w:r>
      <w:r xml:space="preserve">
        <w:t> </w:t>
      </w:r>
      <w:r>
        <w:t xml:space="preserve">[</w:t>
      </w:r>
      <w:r>
        <w:rPr>
          <w:strike/>
        </w:rPr>
        <w:t xml:space="preserve">(D)</w:t>
      </w:r>
      <w:r>
        <w:t xml:space="preserve">]</w:t>
      </w:r>
      <w:r xml:space="preserve">
        <w:t> </w:t>
      </w:r>
      <w:r xml:space="preserve">
        <w:t> </w:t>
      </w:r>
      <w:r>
        <w:t xml:space="preserve">by the El Paso Council of Judges;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(F)</w:t>
      </w:r>
      <w:r xml:space="preserve">
        <w:t> </w:t>
      </w:r>
      <w:r>
        <w:t xml:space="preserve">[</w:t>
      </w:r>
      <w:r>
        <w:rPr>
          <w:strike/>
        </w:rPr>
        <w:t xml:space="preserve">(E)</w:t>
      </w:r>
      <w:r>
        <w:t xml:space="preserve">]</w:t>
      </w:r>
      <w:r xml:space="preserve">
        <w:t> </w:t>
      </w:r>
      <w:r xml:space="preserve">
        <w:t> </w:t>
      </w:r>
      <w:r>
        <w:t xml:space="preserve">by the Fort Bend County Commissioners Court;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(G)</w:t>
      </w:r>
      <w:r xml:space="preserve">
        <w:t> </w:t>
      </w:r>
      <w:r>
        <w:t xml:space="preserve">[</w:t>
      </w:r>
      <w:r>
        <w:rPr>
          <w:strike/>
        </w:rPr>
        <w:t xml:space="preserve">(F)</w:t>
      </w:r>
      <w:r>
        <w:t xml:space="preserve">]</w:t>
      </w:r>
      <w:r xml:space="preserve">
        <w:t> </w:t>
      </w:r>
      <w:r xml:space="preserve">
        <w:t> </w:t>
      </w:r>
      <w:r>
        <w:t xml:space="preserve">by the Collin County Commissioners Court; or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(H)</w:t>
      </w:r>
      <w:r xml:space="preserve">
        <w:t> </w:t>
      </w:r>
      <w:r>
        <w:t xml:space="preserve">[</w:t>
      </w:r>
      <w:r>
        <w:rPr>
          <w:strike/>
        </w:rPr>
        <w:t xml:space="preserve">(G)</w:t>
      </w:r>
      <w:r>
        <w:t xml:space="preserve">]</w:t>
      </w:r>
      <w:r xml:space="preserve">
        <w:t> </w:t>
      </w:r>
      <w:r xml:space="preserve">
        <w:t> </w:t>
      </w:r>
      <w:r>
        <w:t xml:space="preserve">under Subchapter JJ, Chapter 54, Government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(9)</w:t>
      </w:r>
      <w:r xml:space="preserve">
        <w:t> </w:t>
      </w:r>
      <w:r xml:space="preserve">
        <w:t> </w:t>
      </w:r>
      <w:r>
        <w:t xml:space="preserve">a magistrate or associate judge appointed by a judge of a district court of Lubbock County, Nolan County, or Webb County;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(10)</w:t>
      </w:r>
      <w:r xml:space="preserve">
        <w:t> </w:t>
      </w:r>
      <w:r xml:space="preserve">
        <w:t> </w:t>
      </w:r>
      <w:r>
        <w:t xml:space="preserve">a county judge;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(11)</w:t>
      </w:r>
      <w:r xml:space="preserve">
        <w:t> </w:t>
      </w:r>
      <w:r xml:space="preserve">
        <w:t> </w:t>
      </w:r>
      <w:r>
        <w:t xml:space="preserve">a judge of: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 statutory county court;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county criminal court;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statutory probate court;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(12)</w:t>
      </w:r>
      <w:r xml:space="preserve">
        <w:t> </w:t>
      </w:r>
      <w:r xml:space="preserve">
        <w:t> </w:t>
      </w:r>
      <w:r>
        <w:t xml:space="preserve">an associate judge appointed by a judge of a statutory probate court under Chapter 54A, Government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(13)</w:t>
      </w:r>
      <w:r xml:space="preserve">
        <w:t> </w:t>
      </w:r>
      <w:r xml:space="preserve">
        <w:t> </w:t>
      </w:r>
      <w:r>
        <w:t xml:space="preserve">a justice of the peace;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(14)</w:t>
      </w:r>
      <w:r xml:space="preserve">
        <w:t> </w:t>
      </w:r>
      <w:r xml:space="preserve">
        <w:t> </w:t>
      </w:r>
      <w:r>
        <w:t xml:space="preserve">a mayor or recorder of a municipality or a judge of a municipal court.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To the extent of any conflict, this Act prevails over another Act of the 89th Legislature, Regular Session, 2025, relating to nonsubstantive additions to and corrections in enacted codes.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4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3716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