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89R15773 DNC-D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Cain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3625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repealing the Texas green job skills development fund and the green job skills grant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P, Chapter 403, Government Code, is repealed.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3625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