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Hughes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1742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required instruction in the Success Sequence for students in public schools.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28, Education Code, is amended by adding Section 28.0025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28.0025.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SUCCESS SEQUENCE.  (a) In this section, "Success Sequence" means the following series of evidence-based sequential milestones shown to help young adults achieve economic prosperity: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obtaining at least a high school degree and acquiring additional training in preparation for entering the workforce;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securing full-time employment;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marrying before having any children.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State Board of Education by rule shall require that all students receive instruction in the Success Sequence at least twice prior to graduation beginning with the 2026-2027 school year. Instruction in the Success Sequence must be provided to students during grade 6 and grade 10.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State Board of Education shall develop curriculum to be adopted by school districts and open-enrollment charter schools that provides grade-level appropriate instruction describing the positive personal and societal outcomes associated with the Success Sequence. The curriculum must incorporate evidence drawn from seminal academic studies on the Success Sequence, including: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"Creating an Opportunity Society" by Ron Haskins and Isabel Sawhill of The Brookings Institution;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"The Millennial Success Sequence" by Wendy Wang and Brad Wilcox of the American Enterprise Institute and the Institute for Family Studies;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"Assessing the Benefits of the Success Sequence for Economic Self-Sufficiency and Family Stability" by Hande Inanc, Ariella Spitzer, and Brian Gosling for the U.S. Department of Health and Human Services.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State Board of Education may partner with Texas-based nonprofit organizations with an established track record of providing instruction on the Success Sequence in the development of the curriculum required by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district or open-enrollment charter school shall provide instruction to students in grade 6 and grade 10 in the theory and application of the Success Sequence in a manner consistent with the requirements of this section, State Board of Education rules, and the curriculum adopted under this section. The instruction may be provided as a part of required curriculum in health, economics, or personal financial literacy.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1742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