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89R5736 AND-D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1767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employment of full-time registered nurses at public schools.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33, Education Code, is amended by adding Section 33.916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33.916.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EMPLOYMENT OF REGISTERED NURSES.  A school district or open-enrollment charter school shall: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employ at least one full-time registered nurse at each campus of the district or school;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maintain an average ratio of not less than one full-time registered nurse for every 750 students enrolled at the district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2025-2026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1767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