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89R11852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1700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artificial intelligence division within the Department of Information Resources.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ESTABLISHMENT AND ADMINISTRATION OF DIVISION.  (a) </w:t>
      </w:r>
      <w:r>
        <w:rPr>
          <w:u w:val="single"/>
        </w:rPr>
        <w:t xml:space="preserve"> </w:t>
      </w:r>
      <w:r>
        <w:rPr>
          <w:u w:val="single"/>
        </w:rPr>
        <w:t xml:space="preserve">The department shall establish an artificial intelligence division within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director shall direct the administration and oversight of the artificial intelligence division, including the division's organization within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hire the personnel necessary to administer the duties of the division, including hiring personnel through institutions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GENERATIVE ARTIFICIAL INTELLIGENCE TECHNOLOGY.  (a) </w:t>
      </w:r>
      <w:r>
        <w:rPr>
          <w:u w:val="single"/>
        </w:rPr>
        <w:t xml:space="preserve"> </w:t>
      </w:r>
      <w:r>
        <w:rPr>
          <w:u w:val="single"/>
        </w:rPr>
        <w:t xml:space="preserve">The division shall assist state agencies and other entities that use the department's services in the implementation of generative artificial intelligence technology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projects to modernize or replace legacy systems, as defined by Section 2054.571;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projects appropriate for the use of generative artificial intelligence technology as determined by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assisting agencies and entities with projects under Subsection (a), the division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generative artificial intelligence technology developed or procured by the department to complete the project;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use generative artificial intelligence technology to complete the project.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division contracts with a vendor under Subsection (b), the vendor's generative artificial intelligence technology must complete at least 90 percent of the work required to complete the contract.</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COST ANALYSIS REPORT.  The division shall prepare a cost analysis report for each project completed under Section 2054.702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summary of the time, money, and resources saved by using a generative artificial intelligence technology compared to the time, money, and resources that would have been required using traditional systems to perform equivalent tasks;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concise overview focused on information demonstrating the cost efficiencies achieved by using generative artificial intelligence technology, such as the amount of time and money saved in the procurement process.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RULES.  The department may adopt the rules necessary to establish and administer the division.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Department of Information Resources shall adopt the rules necessary to implement Subchapter S, Chapter 2054,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