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89R8235 PRL-D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Olcott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3361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elimination of electronic poll lists and the countywide polling place program.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32.0511(d), Election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Not more than two student election clerks may serve at a polling place[</w:t>
      </w:r>
      <w:r>
        <w:rPr>
          <w:strike/>
        </w:rPr>
        <w:t xml:space="preserve">, except that not more than four student election clerks may serve at any countywide polling place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42.0051(a), Election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This section applies only to a county with a population of less than 1.2 million [</w:t>
      </w:r>
      <w:r>
        <w:rPr>
          <w:strike/>
        </w:rPr>
        <w:t xml:space="preserve">that does not participate in the countywide polling place program described by Section 43.007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Chapter 63, Election Code, is amended by adding Section 63.0016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63.0016.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USE OF ELECTRONIC DEVICES TO ACCEPT VOTERS PROHIBITED.  The use of an electronic device to accept voters under this chapter is prohibited.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C, Chapter 85, Election Code, is amended by adding Section 85.0621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85.0621.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VOTERS SERVED BY BRANCH POLLING PLACE.  (a) The commissioners court of a county shall assign a person in the county entitled to vote an early voting ballot by personal appearance to an early voting polling place in the commissioners precinct.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Any person entitled to vote an early voting ballot by personal appearance may do so at the early voting polling place to which the person is assigned under Subsection (a).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5</w:t>
      </w:r>
      <w:r>
        <w:t xml:space="preserve">.</w:t>
      </w:r>
      <w:r xml:space="preserve">
        <w:t> </w:t>
      </w:r>
      <w:r xml:space="preserve">
        <w:t> </w:t>
      </w:r>
      <w:r>
        <w:t xml:space="preserve">The following provisions of the Election Code are repealed: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Section 31.014;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Section 32.002(c-1);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Section 43.004(c);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Section 43.007;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Section 63.002(d);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Section 63.003(d);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Section 63.004(e); and 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Section 85.062(f-1).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6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3361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