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89R11068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1417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compensatory time and vacation leave accrued by an employee of the Texas Department of Criminal Justice.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659.015(k), Government Code, is amended to read as follows:</w:t>
      </w:r>
    </w:p>
    <w:p w:rsidR="003F3435" w:rsidRDefault="0032493E">
      <w:pPr>
        <w:spacing w:line="480" w:lineRule="auto"/>
        <w:ind w:firstLine="720"/>
        <w:jc w:val="both"/>
      </w:pPr>
      <w:r>
        <w:t xml:space="preserve">(k)</w:t>
      </w:r>
      <w:r xml:space="preserve">
        <w:t> </w:t>
      </w:r>
      <w:r xml:space="preserve">
        <w:t> </w:t>
      </w:r>
      <w:r>
        <w:t xml:space="preserve">Compensatory time off to which an employee of the Texas Department of Criminal Justice is entitled under Subsection (f)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must be taken during the 24-month period following the end of the workweek in which the compensatory time was accrued</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not taken during the period described by Subdivision (1), shall be credited to the employee's accumulated vacation leave for purposes of Chapter 661</w:t>
      </w:r>
      <w:r>
        <w:t xml:space="preserve"> [</w:t>
      </w:r>
      <w:r>
        <w:rPr>
          <w:strike/>
        </w:rPr>
        <w:t xml:space="preserve">or it lapses</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661.152(b),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amount of vacation accrues </w:t>
      </w:r>
      <w:r>
        <w:rPr>
          <w:u w:val="single"/>
        </w:rPr>
        <w:t xml:space="preserve">in accordance with this subchapter and Section 659.015(k)</w:t>
      </w:r>
      <w:r>
        <w:t xml:space="preserve"> and may be taken in accordance with this subchapter.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to compensatory time accrued by an employee of the Texas Department of Criminal Justice before,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1417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