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89R9490 AND-D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3032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by the Texas Higher Education Coordinating Board in coordination with other state agencies on the feasibility of developing clinical sites for nursing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61, Education Code, is amended by adding Section 61.9630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61.9630.</w:t>
      </w:r>
      <w:r>
        <w:rPr>
          <w:u w:val="single"/>
        </w:rPr>
        <w:t xml:space="preserve"> </w:t>
      </w:r>
      <w:r>
        <w:rPr>
          <w:u w:val="single"/>
        </w:rPr>
        <w:t xml:space="preserve"> </w:t>
      </w:r>
      <w:r>
        <w:rPr>
          <w:u w:val="single"/>
        </w:rPr>
        <w:t xml:space="preserve">STUDY ON POTENTIAL CLINICAL SITE FACILITIES.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"Federally qualified health center" has the meaning assigned by 42 U.S.C. Section 1396d(l)(2)(B).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"Hospital" has the meaning assigned by Section 58A.001.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juvenile facility" has the meaning assigned by Article 49.18, Code of Criminal Procedure.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conduct a study in collaboration with the Health and Human Services Commission, the Texas Board of Nursing, the Texas Department of Criminal Justice, and the Texas Juvenile Justice Department regarding the feasibility of establishing clinical sites at correctional facilities, state juvenile facilities, hospitals, and federally qualified health centers to provide clinical learning experiences for nursing students.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2026, the board shall submit to the governor, the lieutenant governor, the speaker of the house of representatives, and each standing legislative committee with primary jurisdiction over higher education or nursing a written report that includes the results of the study and any recommendations for legislative or other action.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