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89R9379 MEW-F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H.B.</w:t>
      </w:r>
      <w:r xml:space="preserve">
        <w:t> </w:t>
      </w:r>
      <w:r>
        <w:t xml:space="preserve">No.</w:t>
      </w:r>
      <w:r xml:space="preserve">
        <w:t> </w:t>
      </w:r>
      <w:r>
        <w:t xml:space="preserve">3024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reporting regarding a school district's school counseling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39.306, Education Code, is amended by amending Subsection (d-1) and adding Subsection (d-2) to read as follows:</w:t>
      </w:r>
    </w:p>
    <w:p w:rsidR="003F3435" w:rsidRDefault="0032493E">
      <w:pPr>
        <w:spacing w:line="480" w:lineRule="auto"/>
        <w:ind w:firstLine="720"/>
        <w:jc w:val="both"/>
      </w:pPr>
      <w:r>
        <w:t xml:space="preserve">(d-1)</w:t>
      </w:r>
      <w:r xml:space="preserve">
        <w:t> </w:t>
      </w:r>
      <w:r xml:space="preserve">
        <w:t> </w:t>
      </w:r>
      <w:r>
        <w:rPr>
          <w:u w:val="single"/>
        </w:rPr>
        <w:t xml:space="preserve">The report must also include, based on the information included in the report under Subsection (d-2), an evaluation of a school district's school counseling program.</w:t>
      </w:r>
    </w:p>
    <w:p w:rsidR="003F3435" w:rsidRDefault="0032493E">
      <w:pPr>
        <w:spacing w:line="480" w:lineRule="auto"/>
        <w:ind w:firstLine="720"/>
        <w:jc w:val="both"/>
      </w:pPr>
      <w:r>
        <w:rPr>
          <w:u w:val="single"/>
        </w:rPr>
        <w:t xml:space="preserve">(d-2)</w:t>
      </w:r>
      <w:r xml:space="preserve">
        <w:t> </w:t>
      </w:r>
      <w:r xml:space="preserve">
        <w:t> </w:t>
      </w:r>
      <w:r>
        <w:t xml:space="preserve">The report must also include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number of school counselors providing counseling services at each campus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number of hours a school counselor spent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duties that are components of a counseling program developed under Section 33.005;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duties that are not components of a counseling program described by Paragraph (A), including the average number of hours spent administering or providing assistance in connection with assessment instruments, except for time spent interpreting data from assessment instruments;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findings, conclusions, and other relevant information from the district's assessment of the district's compliance with the policy adopted under Section 33.006(d) required under Subsection (h) of that section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