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89R8659 MPF-F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1355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liquor sales on credit by the holder of a distiller's and rectifier's permit to a wholesaler.</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102, Alcoholic Beverage Code, is amended by adding Section 102.33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102.33.</w:t>
      </w:r>
      <w:r>
        <w:rPr>
          <w:u w:val="single"/>
        </w:rPr>
        <w:t xml:space="preserve"> </w:t>
      </w:r>
      <w:r>
        <w:rPr>
          <w:u w:val="single"/>
        </w:rPr>
        <w:t xml:space="preserve"> </w:t>
      </w:r>
      <w:r>
        <w:rPr>
          <w:u w:val="single"/>
        </w:rPr>
        <w:t xml:space="preserve">SALE OF LIQUOR BY DISTILLER AND RECTIFIER TO WHOLESALER: CREDIT RESTRICTIONS.  (a)  The holder of a distiller's and rectifier's permit shall provide an invoice to the holder of a wholesaler's permit who purchases liquor from the distiller's and rectifier's permit holder.  The invoice must include the date of purchase.</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holder of a wholesaler's permit shall pay for liquor purchased from the holder of a distiller's and rectifier's permit on or before the 30th day after the date the wholesaler receives the invoice.</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holder of a wholesaler's permit becomes delinquent in the payment of an account for liquor under this section, the holder of the distiller's and rectifier's permit may report that fact in writing, including by electronic mail or facsimile transmission, to the commission.  An account becomes delinquent if it is not paid when it is required to be paid under Subsection (b).</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shall maintain a list of wholesaler's permit holders who have been reported to the commission under Subsection (c) for failing to pay for the purchase of liquor under this section. </w:t>
      </w:r>
      <w:r>
        <w:rPr>
          <w:u w:val="single"/>
        </w:rPr>
        <w:t xml:space="preserve"> </w:t>
      </w:r>
      <w:r>
        <w:rPr>
          <w:u w:val="single"/>
        </w:rPr>
        <w:t xml:space="preserve">The commission shall remove a wholesaler from the list on receiving proof that the wholesaler's delinquent account is paid in full.</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may not accept the voluntary cancellation or suspension of a wholesaler permit or allow a permit to be renewed or transferred if the permit holder is delinquent in the payment of an account for liquor under this section. </w:t>
      </w:r>
      <w:r>
        <w:rPr>
          <w:u w:val="single"/>
        </w:rPr>
        <w:t xml:space="preserve"> </w:t>
      </w:r>
      <w:r>
        <w:rPr>
          <w:u w:val="single"/>
        </w:rPr>
        <w:t xml:space="preserve">A person whose permit is canceled by the commission or whose permit has expired is not eligible to hold any other permit or license under this code until the person has cured any delinquency of the person under this section.</w:t>
      </w:r>
      <w:r>
        <w:t xml:space="preserve"> </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 shall adopt rules to implement this section.</w:t>
      </w:r>
      <w:r>
        <w:t xml:space="preserve"> </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1355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