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89R10384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2916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criminal and civil liability for disabling, damaging, or destroying an unmanned aircraft.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423, Government Code, is amended by adding Section 423.010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423.010.</w:t>
      </w:r>
      <w:r>
        <w:rPr>
          <w:u w:val="single"/>
        </w:rPr>
        <w:t xml:space="preserve"> </w:t>
      </w:r>
      <w:r>
        <w:rPr>
          <w:u w:val="single"/>
        </w:rPr>
        <w:t xml:space="preserve"> </w:t>
      </w:r>
      <w:r>
        <w:rPr>
          <w:u w:val="single"/>
        </w:rPr>
        <w:t xml:space="preserve">AFFIRMATIVE DEFENSE: DISABLING, DAMAGING, OR DESTROYING UNMANNED AIRCRAFT.  It is an affirmative defense to prosecution for an offense involving damage or destruction of property under Section 28.03 or 28.04, Penal Code, or to civil liability for the damage or destruction of an unmanned aircraft that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on property owned or legally occupied by the person;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used a firearm legally possessed by the person to disable, damage, or destroy an unmanned aircraft that the person did not authorize to be on or over the property;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prohibited from discharging the firearm under Section 42.12, Penal Code, other law or local regulation, or a dedicatory instrument governing use of the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conduct that occurs on or after the effective date of this Act. </w:t>
      </w:r>
      <w:r>
        <w:t xml:space="preserve"> </w:t>
      </w:r>
      <w:r>
        <w:t xml:space="preserve">Conduct that occurs before the effective date of this Act is governed by the law in effect on the date the conduct occurred, and the former law is continued in effect for that purpose. </w:t>
      </w:r>
      <w:r>
        <w:t xml:space="preserve"> </w:t>
      </w:r>
      <w:r>
        <w:t xml:space="preserve">For purposes of this section, conduct occurs before the effective date of this Act if any element of the conduct occurs before the effective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