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89R9337 JBD-D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Simmons</w:t>
      </w:r>
      <w:r xml:space="preserve">
        <w:tab wTab="150" tlc="none" cTlc="0"/>
      </w:r>
      <w:r>
        <w:t xml:space="preserve">H.B.</w:t>
      </w:r>
      <w:r xml:space="preserve">
        <w:t> </w:t>
      </w:r>
      <w:r>
        <w:t xml:space="preserve">No.</w:t>
      </w:r>
      <w:r xml:space="preserve">
        <w:t> </w:t>
      </w:r>
      <w:r>
        <w:t xml:space="preserve">2907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landlord or landlord's manager or agent of a tenant's name or likeness for a commercial purpose.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92, Property Code, is amended by adding Section 92.027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92.027.</w:t>
      </w:r>
      <w:r>
        <w:rPr>
          <w:u w:val="single"/>
        </w:rPr>
        <w:t xml:space="preserve"> </w:t>
      </w:r>
      <w:r>
        <w:rPr>
          <w:u w:val="single"/>
        </w:rPr>
        <w:t xml:space="preserve"> </w:t>
      </w:r>
      <w:r>
        <w:rPr>
          <w:u w:val="single"/>
        </w:rPr>
        <w:t xml:space="preserve">LANDLORD'S USE OF TENANT'S NAME OR LIKENESS. </w:t>
      </w:r>
      <w:r>
        <w:rPr>
          <w:u w:val="single"/>
        </w:rPr>
        <w:t xml:space="preserve"> </w:t>
      </w:r>
      <w:r>
        <w:rPr>
          <w:u w:val="single"/>
        </w:rPr>
        <w:t xml:space="preserve">(a) </w:t>
      </w:r>
      <w:r>
        <w:rPr>
          <w:u w:val="single"/>
        </w:rPr>
        <w:t xml:space="preserve"> </w:t>
      </w:r>
      <w:r>
        <w:rPr>
          <w:u w:val="single"/>
        </w:rPr>
        <w:t xml:space="preserve">This section applies to a provision in a lease or other agreement that purports to authorize the landlord or the landlord's manager or agent to publish for any commercial purpose the name or likeness of the tenant or any dependent residing with the tenant.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provision to which this section applies must provide a tenant the opportunity to opt out of the authorization.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authorization granted by a provision to which this section applies is effective only during the tenant's lease term.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Any provision in a lease or other agreement entered into in violation of this section or the terms of which violate this section is void.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landlord or landlord's manager or agent obtains a tenant's agreement to a provision in a lease or other agreement in violation of this section, or uses a tenant's name or likeness pursuant to a provision that is void under this section, the tenant is entitled to recover from or against the landlord or manager or agent of the landlord: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amount equal to one month's rent;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injunctive relief;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reasonable attorney's fees incurred by the tenant in seeking enforcement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92.027, Property Code, as added by this Act, applies to a lease or other agreement entered into or renewed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2907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