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89R5733 MCF-F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certain e-cigarette products.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161.0876(a),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For purposes of this section, "e-cigarette product" includes any substance [</w:t>
      </w:r>
      <w:r>
        <w:rPr>
          <w:strike/>
        </w:rPr>
        <w:t xml:space="preserve">containing nicotine from any source that is</w:t>
      </w:r>
      <w:r>
        <w:t xml:space="preserve">] intended for use in an e-cigarette</w:t>
      </w:r>
      <w:r>
        <w:rPr>
          <w:u w:val="single"/>
        </w:rPr>
        <w:t xml:space="preserve">, regardless of whether the substance contains nicotine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