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89R7521 MCK-F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w:t>
      </w:r>
      <w:r xml:space="preserve">
        <w:tab wTab="150" tlc="none" cTlc="0"/>
      </w:r>
      <w:r>
        <w:t xml:space="preserve">S.B.</w:t>
      </w:r>
      <w:r xml:space="preserve">
        <w:t> </w:t>
      </w:r>
      <w:r>
        <w:t xml:space="preserve">No.</w:t>
      </w:r>
      <w:r xml:space="preserve">
        <w:t> </w:t>
      </w:r>
      <w:r>
        <w:t xml:space="preserve">1293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availability of dates of birth under the public information law.</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552, Government Code, is amended by adding Section 552.0223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552.0223.</w:t>
      </w:r>
      <w:r>
        <w:rPr>
          <w:u w:val="single"/>
        </w:rPr>
        <w:t xml:space="preserve"> </w:t>
      </w:r>
      <w:r>
        <w:rPr>
          <w:u w:val="single"/>
        </w:rPr>
        <w:t xml:space="preserve"> </w:t>
      </w:r>
      <w:r>
        <w:rPr>
          <w:u w:val="single"/>
        </w:rPr>
        <w:t xml:space="preserve">DATES OF BIRTH.  Notwithstanding Section 552.101, this chapter does not authorize a governmental body to withhold a date of birth except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permitted by Section 552.102;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permitted by the federal privacy requirements adopted under the Health Insurance Portability and Accountability Act of 1996 (Pub. L. No. 104-191) contained in 45 C.F.R. Part 160 and 45 C.F.R. Part 164;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otherwise provided by constitutional or statutory law.</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request for information that is received by a governmental body or an officer for public information on or after the effective date of this Act.  A request for information that was received before the effective date of this Act is governed by the law in effect on the date the request was received,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