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89R8776 RAL-D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Geren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2762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ownership of the pore space underlying the surface of land.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5, Property Code, is amended by adding Subchapter H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H. OWNERSHIP OF PORE SPACE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5.251.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DEFINITION.  In this subchapter, "pore space" means the geologic structures below the surface of land, including voids and cavities.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5.252.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OWNERSHIP OF PORE SPACE.  (a)  Unless expressly modified, reserved, or altered by a deed, conveyance, lease, or contract, the ownership of pore space is vested in the owner or owners of the surface estate of the land.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does not modify common law existing on the effective date of this section as it relates to the relationship between the mineral and surface estates.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2762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