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89R11458 KRM-D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Dutton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2645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suit for possession of or access to a child by a grandparent.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Part 2, Subchapter B, Chapter 107, Family Code, is amended by adding Section 107.024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107.024.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APPOINTMENT OF GUARDIAN AD LITEM IN SUIT FOR POSSESSION OR ACCESS BY GRANDPARENT.  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 suit filed under Section 153.432 requesting possession of or access to a grandchild, the court shall appoint a guardian ad litem for the grandchild at the request of a grandparent who is a party to the suit.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Section 107.002(e), a guardian ad litem appointed under this section shall submit to the court a report regarding the guardian ad litem's recommendations relating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grandparent's possession of or access to the grandchild in accordance with Section 153.433;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bases for the guardian ad litem's recommendations.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153.432, Family Code, is amended by adding Subsection (d)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affidavit submitted under Subsection (c) is not required to contain expert opinion.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153.433, Family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153.433.</w:t>
      </w:r>
      <w:r xml:space="preserve">
        <w:t> </w:t>
      </w:r>
      <w:r xml:space="preserve">
        <w:t> </w:t>
      </w:r>
      <w:r>
        <w:t xml:space="preserve">POSSESSION OF OR ACCESS TO GRANDCHILD.  (a)</w:t>
      </w:r>
      <w:r xml:space="preserve">
        <w:t> </w:t>
      </w:r>
      <w:r xml:space="preserve">
        <w:t> </w:t>
      </w:r>
      <w:r>
        <w:t xml:space="preserve">The court may order reasonable possession of or access to a grandchild by a grandparent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at the time the relief is requested, at least one biological or adoptive parent of the child has not had that parent's parental rights terminated; </w:t>
      </w:r>
      <w:r>
        <w:rPr>
          <w:u w:val="single"/>
        </w:rPr>
        <w:t xml:space="preserve">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grandparent requesting possession of or access to the child overcomes the presumption that a parent acts in the best interest of the parent's child by proving by a preponderance of the evidence that denial of possession of or access to the child would significantly impair the child's physical health or emotional well-being[</w:t>
      </w:r>
      <w:r>
        <w:rPr>
          <w:strike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[</w:t>
      </w:r>
      <w:r>
        <w:rPr>
          <w:strike/>
        </w:rPr>
        <w:t xml:space="preserve">(3)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the grandparent requesting possession of or access to the child is a parent of a parent of the child and that parent of the child: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(A)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has been incarcerated in jail or prison during the three-month period preceding the filing of the petition;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(B)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has been found by a court to be incompetent;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(C)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is dead;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(D)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does not have actual or court-ordered possession of or access to the child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To meet the burden of proof under Subsection (a)(2), a grandparent requesting possession of or access to a grandchild is not required to offer expert testimony.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order granting possession of or access to a child by a grandparent that is rendered over a parent's objections must state, with specificity</w:t>
      </w:r>
      <w:r>
        <w:rPr>
          <w:u w:val="single"/>
        </w:rPr>
        <w:t xml:space="preserve">,</w:t>
      </w:r>
      <w:r>
        <w:t xml:space="preserve">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at the time the relief was requested, at least one biological or adoptive parent of the child had not had that parent's parental rights terminated; </w:t>
      </w:r>
      <w:r>
        <w:rPr>
          <w:u w:val="single"/>
        </w:rPr>
        <w:t xml:space="preserve">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grandparent requesting possession of or access to the child has overcome the presumption that a parent acts in the best interest of the parent's child by proving by a preponderance of the evidence that the denial of possession of or access to the child would significantly impair the child's physical health or emotional well-being[</w:t>
      </w:r>
      <w:r>
        <w:rPr>
          <w:strike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[</w:t>
      </w:r>
      <w:r>
        <w:rPr>
          <w:strike/>
        </w:rPr>
        <w:t xml:space="preserve">(3)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the grandparent requesting possession of or access to the child is a parent of a parent of the child and that parent of the child: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(A)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has been incarcerated in jail or prison during the three-month period preceding the filing of the petition;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(B)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has been found by a court to be incompetent;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(C)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is dead;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(D)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does not have actual or court-ordered possession of or access to the child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to a suit affecting the parent-child relationship that is pending in a trial court on the effective date of this Act or filed on or after that date.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2645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