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89R4842 KJE-D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w:t>
      </w:r>
      <w:r xml:space="preserve">
        <w:tab wTab="150" tlc="none" cTlc="0"/>
      </w:r>
      <w:r>
        <w:t xml:space="preserve">S.B.</w:t>
      </w:r>
      <w:r xml:space="preserve">
        <w:t> </w:t>
      </w:r>
      <w:r>
        <w:t xml:space="preserve">No.</w:t>
      </w:r>
      <w:r xml:space="preserve">
        <w:t> </w:t>
      </w:r>
      <w:r>
        <w:t xml:space="preserve">1129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credit against required recapture payments for school districts for the cost of optional residence homestead exemptions under the public school finance system.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D, Chapter 49, Education Code, is amended by adding Section 49.1574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49.1574.</w:t>
      </w:r>
      <w:r>
        <w:rPr>
          <w:u w:val="single"/>
        </w:rPr>
        <w:t xml:space="preserve"> </w:t>
      </w:r>
      <w:r>
        <w:rPr>
          <w:u w:val="single"/>
        </w:rPr>
        <w:t xml:space="preserve"> </w:t>
      </w:r>
      <w:r>
        <w:rPr>
          <w:u w:val="single"/>
        </w:rPr>
        <w:t xml:space="preserve">CREDIT FOR OPTIONAL HOMESTEAD EXEMPTION.  (a) </w:t>
      </w:r>
      <w:r>
        <w:rPr>
          <w:u w:val="single"/>
        </w:rPr>
        <w:t xml:space="preserve"> </w:t>
      </w:r>
      <w:r>
        <w:rPr>
          <w:u w:val="single"/>
        </w:rPr>
        <w:t xml:space="preserve">The total amount required under Section 49.153 for a school district to purchase attendance credit under this subchapter for any school year is reduced by an amount equal to the total dollar amount of residence homestead exemptions the district grants under Section 11.13(n), Tax Code, for that school year, less any amount: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district receives under Chapter 48 that is attributable to Section 48.259;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by which the district's local revenue level is reduced to account for those exemptions.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reduction under Subsection (a) shall be made after making any reduction to which the district is entitled under Section 49.157 or another provision of this 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1129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