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E93165" w:rsidTr="00345119">
        <w:tc>
          <w:tcPr>
            <w:tcW w:w="9576" w:type="dxa"/>
            <w:noWrap/>
          </w:tcPr>
          <w:p w:rsidR="008423E4" w:rsidRPr="0022177D" w:rsidRDefault="006E31CD" w:rsidP="00345119">
            <w:pPr>
              <w:pStyle w:val="Heading1"/>
            </w:pPr>
            <w:bookmarkStart w:id="0" w:name="_GoBack"/>
            <w:bookmarkEnd w:id="0"/>
            <w:r w:rsidRPr="00631897">
              <w:t>BILL ANALYSIS</w:t>
            </w:r>
          </w:p>
        </w:tc>
      </w:tr>
    </w:tbl>
    <w:p w:rsidR="008423E4" w:rsidRPr="0022177D" w:rsidRDefault="006E31CD" w:rsidP="008423E4">
      <w:pPr>
        <w:jc w:val="center"/>
      </w:pPr>
    </w:p>
    <w:p w:rsidR="008423E4" w:rsidRPr="00B31F0E" w:rsidRDefault="006E31CD" w:rsidP="008423E4"/>
    <w:p w:rsidR="008423E4" w:rsidRPr="00742794" w:rsidRDefault="006E31CD" w:rsidP="008423E4">
      <w:pPr>
        <w:tabs>
          <w:tab w:val="right" w:pos="9360"/>
        </w:tabs>
      </w:pPr>
    </w:p>
    <w:tbl>
      <w:tblPr>
        <w:tblW w:w="0" w:type="auto"/>
        <w:tblLayout w:type="fixed"/>
        <w:tblLook w:val="01E0" w:firstRow="1" w:lastRow="1" w:firstColumn="1" w:lastColumn="1" w:noHBand="0" w:noVBand="0"/>
      </w:tblPr>
      <w:tblGrid>
        <w:gridCol w:w="9576"/>
      </w:tblGrid>
      <w:tr w:rsidR="00E93165" w:rsidTr="00345119">
        <w:tc>
          <w:tcPr>
            <w:tcW w:w="9576" w:type="dxa"/>
          </w:tcPr>
          <w:p w:rsidR="008423E4" w:rsidRPr="00861995" w:rsidRDefault="006E31CD" w:rsidP="00345119">
            <w:pPr>
              <w:jc w:val="right"/>
            </w:pPr>
            <w:r>
              <w:t>H.B. 2773</w:t>
            </w:r>
          </w:p>
        </w:tc>
      </w:tr>
      <w:tr w:rsidR="00E93165" w:rsidTr="00345119">
        <w:tc>
          <w:tcPr>
            <w:tcW w:w="9576" w:type="dxa"/>
          </w:tcPr>
          <w:p w:rsidR="008423E4" w:rsidRPr="00861995" w:rsidRDefault="006E31CD" w:rsidP="00DF0558">
            <w:pPr>
              <w:jc w:val="right"/>
            </w:pPr>
            <w:r>
              <w:t xml:space="preserve">By: </w:t>
            </w:r>
            <w:r>
              <w:t>Walle</w:t>
            </w:r>
          </w:p>
        </w:tc>
      </w:tr>
      <w:tr w:rsidR="00E93165" w:rsidTr="00345119">
        <w:tc>
          <w:tcPr>
            <w:tcW w:w="9576" w:type="dxa"/>
          </w:tcPr>
          <w:p w:rsidR="008423E4" w:rsidRPr="00861995" w:rsidRDefault="006E31CD" w:rsidP="00345119">
            <w:pPr>
              <w:jc w:val="right"/>
            </w:pPr>
            <w:r>
              <w:t>Criminal Jurisprudence</w:t>
            </w:r>
          </w:p>
        </w:tc>
      </w:tr>
      <w:tr w:rsidR="00E93165" w:rsidTr="00345119">
        <w:tc>
          <w:tcPr>
            <w:tcW w:w="9576" w:type="dxa"/>
          </w:tcPr>
          <w:p w:rsidR="008423E4" w:rsidRDefault="006E31CD" w:rsidP="00345119">
            <w:pPr>
              <w:jc w:val="right"/>
            </w:pPr>
            <w:r>
              <w:t>Committee Report (Unamended)</w:t>
            </w:r>
          </w:p>
        </w:tc>
      </w:tr>
    </w:tbl>
    <w:p w:rsidR="008423E4" w:rsidRDefault="006E31CD" w:rsidP="008423E4">
      <w:pPr>
        <w:tabs>
          <w:tab w:val="right" w:pos="9360"/>
        </w:tabs>
      </w:pPr>
    </w:p>
    <w:p w:rsidR="008423E4" w:rsidRDefault="006E31CD" w:rsidP="008423E4"/>
    <w:p w:rsidR="008423E4" w:rsidRDefault="006E31CD" w:rsidP="008423E4"/>
    <w:tbl>
      <w:tblPr>
        <w:tblW w:w="0" w:type="auto"/>
        <w:tblCellMar>
          <w:left w:w="115" w:type="dxa"/>
          <w:right w:w="115" w:type="dxa"/>
        </w:tblCellMar>
        <w:tblLook w:val="01E0" w:firstRow="1" w:lastRow="1" w:firstColumn="1" w:lastColumn="1" w:noHBand="0" w:noVBand="0"/>
      </w:tblPr>
      <w:tblGrid>
        <w:gridCol w:w="9576"/>
      </w:tblGrid>
      <w:tr w:rsidR="00E93165" w:rsidTr="00345119">
        <w:tc>
          <w:tcPr>
            <w:tcW w:w="9576" w:type="dxa"/>
          </w:tcPr>
          <w:p w:rsidR="008423E4" w:rsidRPr="00A8133F" w:rsidRDefault="006E31CD" w:rsidP="00A0486A">
            <w:pPr>
              <w:rPr>
                <w:b/>
              </w:rPr>
            </w:pPr>
            <w:r w:rsidRPr="009C1E9A">
              <w:rPr>
                <w:b/>
                <w:u w:val="single"/>
              </w:rPr>
              <w:t>BACKGROUND AND PURPOSE</w:t>
            </w:r>
            <w:r>
              <w:rPr>
                <w:b/>
              </w:rPr>
              <w:t xml:space="preserve"> </w:t>
            </w:r>
          </w:p>
          <w:p w:rsidR="008423E4" w:rsidRDefault="006E31CD" w:rsidP="00A0486A"/>
          <w:p w:rsidR="007F0272" w:rsidRDefault="006E31CD" w:rsidP="00A0486A">
            <w:pPr>
              <w:pStyle w:val="Header"/>
              <w:jc w:val="both"/>
            </w:pPr>
            <w:r>
              <w:t xml:space="preserve">Interested parties contend that the additional fee </w:t>
            </w:r>
            <w:r>
              <w:t>imposed on</w:t>
            </w:r>
            <w:r>
              <w:t xml:space="preserve"> a person who is convicted of an offense and pays </w:t>
            </w:r>
            <w:r w:rsidRPr="00D311F2">
              <w:t xml:space="preserve">any part </w:t>
            </w:r>
            <w:r>
              <w:t xml:space="preserve">of an </w:t>
            </w:r>
            <w:r>
              <w:t xml:space="preserve">obligation later than a certain date is more likely to affect  people who are financially challenged and unable to make payment in full of the original obligation. H.B. 2773 seeks to eliminate this additional fee. </w:t>
            </w:r>
          </w:p>
          <w:p w:rsidR="008423E4" w:rsidRPr="00E26B13" w:rsidRDefault="006E31CD" w:rsidP="00A0486A">
            <w:pPr>
              <w:pStyle w:val="Header"/>
              <w:jc w:val="both"/>
              <w:rPr>
                <w:b/>
              </w:rPr>
            </w:pPr>
          </w:p>
        </w:tc>
      </w:tr>
      <w:tr w:rsidR="00E93165" w:rsidTr="00345119">
        <w:tc>
          <w:tcPr>
            <w:tcW w:w="9576" w:type="dxa"/>
          </w:tcPr>
          <w:p w:rsidR="0017725B" w:rsidRDefault="006E31CD" w:rsidP="00A0486A">
            <w:pPr>
              <w:rPr>
                <w:b/>
                <w:u w:val="single"/>
              </w:rPr>
            </w:pPr>
            <w:r>
              <w:rPr>
                <w:b/>
                <w:u w:val="single"/>
              </w:rPr>
              <w:t>CRIMINAL JUSTICE IMPACT</w:t>
            </w:r>
          </w:p>
          <w:p w:rsidR="0017725B" w:rsidRDefault="006E31CD" w:rsidP="00A0486A">
            <w:pPr>
              <w:rPr>
                <w:b/>
                <w:u w:val="single"/>
              </w:rPr>
            </w:pPr>
          </w:p>
          <w:p w:rsidR="007F0CE0" w:rsidRPr="007F0CE0" w:rsidRDefault="006E31CD" w:rsidP="00A0486A">
            <w:pPr>
              <w:jc w:val="both"/>
            </w:pPr>
            <w:r>
              <w:t>It is the comm</w:t>
            </w:r>
            <w:r>
              <w:t>ittee's opinion that this bill does not expressly create a criminal offense, increase the punishment for an existing criminal offense or category of offenses, or change the eligibility of a person for community supervision, parole, or mandatory supervision</w:t>
            </w:r>
            <w:r>
              <w:t>.</w:t>
            </w:r>
          </w:p>
          <w:p w:rsidR="0017725B" w:rsidRPr="0017725B" w:rsidRDefault="006E31CD" w:rsidP="00A0486A">
            <w:pPr>
              <w:rPr>
                <w:b/>
                <w:u w:val="single"/>
              </w:rPr>
            </w:pPr>
          </w:p>
        </w:tc>
      </w:tr>
      <w:tr w:rsidR="00E93165" w:rsidTr="00345119">
        <w:tc>
          <w:tcPr>
            <w:tcW w:w="9576" w:type="dxa"/>
          </w:tcPr>
          <w:p w:rsidR="008423E4" w:rsidRPr="00A8133F" w:rsidRDefault="006E31CD" w:rsidP="00A0486A">
            <w:pPr>
              <w:rPr>
                <w:b/>
              </w:rPr>
            </w:pPr>
            <w:r w:rsidRPr="009C1E9A">
              <w:rPr>
                <w:b/>
                <w:u w:val="single"/>
              </w:rPr>
              <w:t>RULEMAKING AUTHORITY</w:t>
            </w:r>
            <w:r>
              <w:rPr>
                <w:b/>
              </w:rPr>
              <w:t xml:space="preserve"> </w:t>
            </w:r>
          </w:p>
          <w:p w:rsidR="008423E4" w:rsidRDefault="006E31CD" w:rsidP="00A0486A"/>
          <w:p w:rsidR="007F0CE0" w:rsidRDefault="006E31CD" w:rsidP="00A0486A">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6E31CD" w:rsidP="00A0486A">
            <w:pPr>
              <w:rPr>
                <w:b/>
              </w:rPr>
            </w:pPr>
          </w:p>
        </w:tc>
      </w:tr>
      <w:tr w:rsidR="00E93165" w:rsidTr="00345119">
        <w:tc>
          <w:tcPr>
            <w:tcW w:w="9576" w:type="dxa"/>
          </w:tcPr>
          <w:p w:rsidR="008423E4" w:rsidRPr="00A8133F" w:rsidRDefault="006E31CD" w:rsidP="00A0486A">
            <w:pPr>
              <w:rPr>
                <w:b/>
              </w:rPr>
            </w:pPr>
            <w:r w:rsidRPr="009C1E9A">
              <w:rPr>
                <w:b/>
                <w:u w:val="single"/>
              </w:rPr>
              <w:t>ANALYSIS</w:t>
            </w:r>
            <w:r>
              <w:rPr>
                <w:b/>
              </w:rPr>
              <w:t xml:space="preserve"> </w:t>
            </w:r>
          </w:p>
          <w:p w:rsidR="008423E4" w:rsidRDefault="006E31CD" w:rsidP="00A0486A"/>
          <w:p w:rsidR="008423E4" w:rsidRDefault="006E31CD" w:rsidP="00A0486A">
            <w:pPr>
              <w:pStyle w:val="Header"/>
              <w:jc w:val="both"/>
            </w:pPr>
            <w:r>
              <w:t>H.B. 2773 repeals</w:t>
            </w:r>
            <w:r>
              <w:t xml:space="preserve"> Section 133.103, Local Government Code, </w:t>
            </w:r>
            <w:r>
              <w:t>relating to the payment and disposition of a $25 fee</w:t>
            </w:r>
            <w:r>
              <w:t xml:space="preserve"> require</w:t>
            </w:r>
            <w:r>
              <w:t>d to be paid by</w:t>
            </w:r>
            <w:r>
              <w:t xml:space="preserve"> a person convicted of an offense </w:t>
            </w:r>
            <w:r>
              <w:t xml:space="preserve">for </w:t>
            </w:r>
            <w:r>
              <w:t xml:space="preserve">paying </w:t>
            </w:r>
            <w:r>
              <w:t xml:space="preserve">any part of a fine, court costs, or restitution on or after the 31st day after the date on </w:t>
            </w:r>
            <w:r>
              <w:t>which a judgment is entered assessing the fine, court costs, or restitution.</w:t>
            </w:r>
          </w:p>
          <w:p w:rsidR="00026CE3" w:rsidRDefault="006E31CD" w:rsidP="00A0486A">
            <w:pPr>
              <w:pStyle w:val="Header"/>
              <w:jc w:val="both"/>
            </w:pPr>
          </w:p>
          <w:p w:rsidR="00E343FF" w:rsidRDefault="006E31CD" w:rsidP="00A0486A">
            <w:pPr>
              <w:pStyle w:val="Header"/>
              <w:jc w:val="both"/>
            </w:pPr>
            <w:r>
              <w:t>H.B. 2773 amends the Government Code</w:t>
            </w:r>
            <w:r>
              <w:t xml:space="preserve"> and Local Government Code</w:t>
            </w:r>
            <w:r>
              <w:t xml:space="preserve"> to make conforming changes.</w:t>
            </w:r>
          </w:p>
          <w:p w:rsidR="00AA477F" w:rsidRPr="00835628" w:rsidRDefault="006E31CD" w:rsidP="00A0486A">
            <w:pPr>
              <w:pStyle w:val="Header"/>
              <w:jc w:val="both"/>
              <w:rPr>
                <w:b/>
              </w:rPr>
            </w:pPr>
          </w:p>
        </w:tc>
      </w:tr>
      <w:tr w:rsidR="00E93165" w:rsidTr="00345119">
        <w:tc>
          <w:tcPr>
            <w:tcW w:w="9576" w:type="dxa"/>
          </w:tcPr>
          <w:p w:rsidR="008423E4" w:rsidRPr="00A8133F" w:rsidRDefault="006E31CD" w:rsidP="00A0486A">
            <w:pPr>
              <w:rPr>
                <w:b/>
              </w:rPr>
            </w:pPr>
            <w:r w:rsidRPr="009C1E9A">
              <w:rPr>
                <w:b/>
                <w:u w:val="single"/>
              </w:rPr>
              <w:t>EFFECTIVE DATE</w:t>
            </w:r>
            <w:r>
              <w:rPr>
                <w:b/>
              </w:rPr>
              <w:t xml:space="preserve"> </w:t>
            </w:r>
          </w:p>
          <w:p w:rsidR="008423E4" w:rsidRDefault="006E31CD" w:rsidP="00A0486A"/>
          <w:p w:rsidR="008423E4" w:rsidRPr="003624F2" w:rsidRDefault="006E31CD" w:rsidP="00A0486A">
            <w:pPr>
              <w:pStyle w:val="Header"/>
              <w:tabs>
                <w:tab w:val="clear" w:pos="4320"/>
                <w:tab w:val="clear" w:pos="8640"/>
              </w:tabs>
              <w:jc w:val="both"/>
            </w:pPr>
            <w:r>
              <w:t>September 1, 2017.</w:t>
            </w:r>
          </w:p>
          <w:p w:rsidR="008423E4" w:rsidRPr="00233FDB" w:rsidRDefault="006E31CD" w:rsidP="00A0486A">
            <w:pPr>
              <w:rPr>
                <w:b/>
              </w:rPr>
            </w:pPr>
          </w:p>
        </w:tc>
      </w:tr>
    </w:tbl>
    <w:p w:rsidR="008423E4" w:rsidRPr="00BE0E75" w:rsidRDefault="006E31CD" w:rsidP="008423E4">
      <w:pPr>
        <w:spacing w:line="480" w:lineRule="auto"/>
        <w:jc w:val="both"/>
        <w:rPr>
          <w:rFonts w:ascii="Arial" w:hAnsi="Arial"/>
          <w:sz w:val="16"/>
          <w:szCs w:val="16"/>
        </w:rPr>
      </w:pPr>
    </w:p>
    <w:p w:rsidR="004108C3" w:rsidRPr="008423E4" w:rsidRDefault="006E31CD"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E31CD">
      <w:r>
        <w:separator/>
      </w:r>
    </w:p>
  </w:endnote>
  <w:endnote w:type="continuationSeparator" w:id="0">
    <w:p w:rsidR="00000000" w:rsidRDefault="006E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E93165" w:rsidTr="009C1E9A">
      <w:trPr>
        <w:cantSplit/>
      </w:trPr>
      <w:tc>
        <w:tcPr>
          <w:tcW w:w="0" w:type="pct"/>
        </w:tcPr>
        <w:p w:rsidR="00137D90" w:rsidRDefault="006E31CD" w:rsidP="009C1E9A">
          <w:pPr>
            <w:pStyle w:val="Footer"/>
            <w:tabs>
              <w:tab w:val="clear" w:pos="8640"/>
              <w:tab w:val="right" w:pos="9360"/>
            </w:tabs>
          </w:pPr>
        </w:p>
      </w:tc>
      <w:tc>
        <w:tcPr>
          <w:tcW w:w="2395" w:type="pct"/>
        </w:tcPr>
        <w:p w:rsidR="00137D90" w:rsidRDefault="006E31CD" w:rsidP="009C1E9A">
          <w:pPr>
            <w:pStyle w:val="Footer"/>
            <w:tabs>
              <w:tab w:val="clear" w:pos="8640"/>
              <w:tab w:val="right" w:pos="9360"/>
            </w:tabs>
          </w:pPr>
        </w:p>
        <w:p w:rsidR="001A4310" w:rsidRDefault="006E31CD" w:rsidP="009C1E9A">
          <w:pPr>
            <w:pStyle w:val="Footer"/>
            <w:tabs>
              <w:tab w:val="clear" w:pos="8640"/>
              <w:tab w:val="right" w:pos="9360"/>
            </w:tabs>
          </w:pPr>
        </w:p>
        <w:p w:rsidR="00137D90" w:rsidRDefault="006E31CD" w:rsidP="009C1E9A">
          <w:pPr>
            <w:pStyle w:val="Footer"/>
            <w:tabs>
              <w:tab w:val="clear" w:pos="8640"/>
              <w:tab w:val="right" w:pos="9360"/>
            </w:tabs>
          </w:pPr>
        </w:p>
      </w:tc>
      <w:tc>
        <w:tcPr>
          <w:tcW w:w="2453" w:type="pct"/>
        </w:tcPr>
        <w:p w:rsidR="00137D90" w:rsidRDefault="006E31CD" w:rsidP="009C1E9A">
          <w:pPr>
            <w:pStyle w:val="Footer"/>
            <w:tabs>
              <w:tab w:val="clear" w:pos="8640"/>
              <w:tab w:val="right" w:pos="9360"/>
            </w:tabs>
            <w:jc w:val="right"/>
          </w:pPr>
        </w:p>
      </w:tc>
    </w:tr>
    <w:tr w:rsidR="00E93165" w:rsidTr="009C1E9A">
      <w:trPr>
        <w:cantSplit/>
      </w:trPr>
      <w:tc>
        <w:tcPr>
          <w:tcW w:w="0" w:type="pct"/>
        </w:tcPr>
        <w:p w:rsidR="00EC379B" w:rsidRDefault="006E31CD" w:rsidP="009C1E9A">
          <w:pPr>
            <w:pStyle w:val="Footer"/>
            <w:tabs>
              <w:tab w:val="clear" w:pos="8640"/>
              <w:tab w:val="right" w:pos="9360"/>
            </w:tabs>
          </w:pPr>
        </w:p>
      </w:tc>
      <w:tc>
        <w:tcPr>
          <w:tcW w:w="2395" w:type="pct"/>
        </w:tcPr>
        <w:p w:rsidR="00EC379B" w:rsidRPr="009C1E9A" w:rsidRDefault="006E31CD" w:rsidP="009C1E9A">
          <w:pPr>
            <w:pStyle w:val="Footer"/>
            <w:tabs>
              <w:tab w:val="clear" w:pos="8640"/>
              <w:tab w:val="right" w:pos="9360"/>
            </w:tabs>
            <w:rPr>
              <w:rFonts w:ascii="Shruti" w:hAnsi="Shruti"/>
              <w:sz w:val="22"/>
            </w:rPr>
          </w:pPr>
          <w:r>
            <w:rPr>
              <w:rFonts w:ascii="Shruti" w:hAnsi="Shruti"/>
              <w:sz w:val="22"/>
            </w:rPr>
            <w:t>85R 24816</w:t>
          </w:r>
        </w:p>
      </w:tc>
      <w:tc>
        <w:tcPr>
          <w:tcW w:w="2453" w:type="pct"/>
        </w:tcPr>
        <w:p w:rsidR="00EC379B" w:rsidRDefault="006E31CD" w:rsidP="009C1E9A">
          <w:pPr>
            <w:pStyle w:val="Footer"/>
            <w:tabs>
              <w:tab w:val="clear" w:pos="8640"/>
              <w:tab w:val="right" w:pos="9360"/>
            </w:tabs>
            <w:jc w:val="right"/>
          </w:pPr>
          <w:r>
            <w:fldChar w:fldCharType="begin"/>
          </w:r>
          <w:r>
            <w:instrText xml:space="preserve"> DOCPROPERTY  OTID  \* MERGEFORMAT </w:instrText>
          </w:r>
          <w:r>
            <w:fldChar w:fldCharType="separate"/>
          </w:r>
          <w:r>
            <w:t>17.110.231</w:t>
          </w:r>
          <w:r>
            <w:fldChar w:fldCharType="end"/>
          </w:r>
        </w:p>
      </w:tc>
    </w:tr>
    <w:tr w:rsidR="00E93165" w:rsidTr="009C1E9A">
      <w:trPr>
        <w:cantSplit/>
      </w:trPr>
      <w:tc>
        <w:tcPr>
          <w:tcW w:w="0" w:type="pct"/>
        </w:tcPr>
        <w:p w:rsidR="00EC379B" w:rsidRDefault="006E31CD" w:rsidP="009C1E9A">
          <w:pPr>
            <w:pStyle w:val="Footer"/>
            <w:tabs>
              <w:tab w:val="clear" w:pos="4320"/>
              <w:tab w:val="clear" w:pos="8640"/>
              <w:tab w:val="left" w:pos="2865"/>
            </w:tabs>
          </w:pPr>
        </w:p>
      </w:tc>
      <w:tc>
        <w:tcPr>
          <w:tcW w:w="2395" w:type="pct"/>
        </w:tcPr>
        <w:p w:rsidR="00EC379B" w:rsidRPr="009C1E9A" w:rsidRDefault="006E31CD" w:rsidP="009C1E9A">
          <w:pPr>
            <w:pStyle w:val="Footer"/>
            <w:tabs>
              <w:tab w:val="clear" w:pos="4320"/>
              <w:tab w:val="clear" w:pos="8640"/>
              <w:tab w:val="left" w:pos="2865"/>
            </w:tabs>
            <w:rPr>
              <w:rFonts w:ascii="Shruti" w:hAnsi="Shruti"/>
              <w:sz w:val="22"/>
            </w:rPr>
          </w:pPr>
        </w:p>
      </w:tc>
      <w:tc>
        <w:tcPr>
          <w:tcW w:w="2453" w:type="pct"/>
        </w:tcPr>
        <w:p w:rsidR="00EC379B" w:rsidRDefault="006E31CD" w:rsidP="006D504F">
          <w:pPr>
            <w:pStyle w:val="Footer"/>
            <w:rPr>
              <w:rStyle w:val="PageNumber"/>
            </w:rPr>
          </w:pPr>
        </w:p>
        <w:p w:rsidR="00EC379B" w:rsidRDefault="006E31CD" w:rsidP="009C1E9A">
          <w:pPr>
            <w:pStyle w:val="Footer"/>
            <w:tabs>
              <w:tab w:val="clear" w:pos="8640"/>
              <w:tab w:val="right" w:pos="9360"/>
            </w:tabs>
            <w:jc w:val="right"/>
          </w:pPr>
        </w:p>
      </w:tc>
    </w:tr>
    <w:tr w:rsidR="00E93165" w:rsidTr="009C1E9A">
      <w:trPr>
        <w:cantSplit/>
        <w:trHeight w:val="323"/>
      </w:trPr>
      <w:tc>
        <w:tcPr>
          <w:tcW w:w="0" w:type="pct"/>
          <w:gridSpan w:val="3"/>
        </w:tcPr>
        <w:p w:rsidR="00EC379B" w:rsidRDefault="006E31C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E31CD" w:rsidP="009C1E9A">
          <w:pPr>
            <w:pStyle w:val="Footer"/>
            <w:tabs>
              <w:tab w:val="clear" w:pos="8640"/>
              <w:tab w:val="right" w:pos="9360"/>
            </w:tabs>
            <w:jc w:val="center"/>
          </w:pPr>
        </w:p>
      </w:tc>
    </w:tr>
  </w:tbl>
  <w:p w:rsidR="00EC379B" w:rsidRPr="00FF6F72" w:rsidRDefault="006E31CD"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E31CD">
      <w:r>
        <w:separator/>
      </w:r>
    </w:p>
  </w:footnote>
  <w:footnote w:type="continuationSeparator" w:id="0">
    <w:p w:rsidR="00000000" w:rsidRDefault="006E3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65"/>
    <w:rsid w:val="006E31CD"/>
    <w:rsid w:val="00E9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26CE3"/>
    <w:rPr>
      <w:sz w:val="16"/>
      <w:szCs w:val="16"/>
    </w:rPr>
  </w:style>
  <w:style w:type="paragraph" w:styleId="CommentText">
    <w:name w:val="annotation text"/>
    <w:basedOn w:val="Normal"/>
    <w:link w:val="CommentTextChar"/>
    <w:rsid w:val="00026CE3"/>
    <w:rPr>
      <w:sz w:val="20"/>
      <w:szCs w:val="20"/>
    </w:rPr>
  </w:style>
  <w:style w:type="character" w:customStyle="1" w:styleId="CommentTextChar">
    <w:name w:val="Comment Text Char"/>
    <w:basedOn w:val="DefaultParagraphFont"/>
    <w:link w:val="CommentText"/>
    <w:rsid w:val="00026CE3"/>
  </w:style>
  <w:style w:type="paragraph" w:styleId="CommentSubject">
    <w:name w:val="annotation subject"/>
    <w:basedOn w:val="CommentText"/>
    <w:next w:val="CommentText"/>
    <w:link w:val="CommentSubjectChar"/>
    <w:rsid w:val="00026CE3"/>
    <w:rPr>
      <w:b/>
      <w:bCs/>
    </w:rPr>
  </w:style>
  <w:style w:type="character" w:customStyle="1" w:styleId="CommentSubjectChar">
    <w:name w:val="Comment Subject Char"/>
    <w:basedOn w:val="CommentTextChar"/>
    <w:link w:val="CommentSubject"/>
    <w:rsid w:val="00026C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26CE3"/>
    <w:rPr>
      <w:sz w:val="16"/>
      <w:szCs w:val="16"/>
    </w:rPr>
  </w:style>
  <w:style w:type="paragraph" w:styleId="CommentText">
    <w:name w:val="annotation text"/>
    <w:basedOn w:val="Normal"/>
    <w:link w:val="CommentTextChar"/>
    <w:rsid w:val="00026CE3"/>
    <w:rPr>
      <w:sz w:val="20"/>
      <w:szCs w:val="20"/>
    </w:rPr>
  </w:style>
  <w:style w:type="character" w:customStyle="1" w:styleId="CommentTextChar">
    <w:name w:val="Comment Text Char"/>
    <w:basedOn w:val="DefaultParagraphFont"/>
    <w:link w:val="CommentText"/>
    <w:rsid w:val="00026CE3"/>
  </w:style>
  <w:style w:type="paragraph" w:styleId="CommentSubject">
    <w:name w:val="annotation subject"/>
    <w:basedOn w:val="CommentText"/>
    <w:next w:val="CommentText"/>
    <w:link w:val="CommentSubjectChar"/>
    <w:rsid w:val="00026CE3"/>
    <w:rPr>
      <w:b/>
      <w:bCs/>
    </w:rPr>
  </w:style>
  <w:style w:type="character" w:customStyle="1" w:styleId="CommentSubjectChar">
    <w:name w:val="Comment Subject Char"/>
    <w:basedOn w:val="CommentTextChar"/>
    <w:link w:val="CommentSubject"/>
    <w:rsid w:val="00026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1183</Characters>
  <Application>Microsoft Office Word</Application>
  <DocSecurity>4</DocSecurity>
  <Lines>44</Lines>
  <Paragraphs>16</Paragraphs>
  <ScaleCrop>false</ScaleCrop>
  <HeadingPairs>
    <vt:vector size="2" baseType="variant">
      <vt:variant>
        <vt:lpstr>Title</vt:lpstr>
      </vt:variant>
      <vt:variant>
        <vt:i4>1</vt:i4>
      </vt:variant>
    </vt:vector>
  </HeadingPairs>
  <TitlesOfParts>
    <vt:vector size="1" baseType="lpstr">
      <vt:lpstr>BA - HB02773 (Committee Report (Unamended))</vt:lpstr>
    </vt:vector>
  </TitlesOfParts>
  <Company>State of Texas</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24816</dc:subject>
  <dc:creator>State of Texas</dc:creator>
  <dc:description>HB 2773 by Walle-(H)Criminal Jurisprudence</dc:description>
  <cp:lastModifiedBy>Molly Hoffman-Bricker</cp:lastModifiedBy>
  <cp:revision>2</cp:revision>
  <cp:lastPrinted>2017-04-22T02:17:00Z</cp:lastPrinted>
  <dcterms:created xsi:type="dcterms:W3CDTF">2017-05-05T01:09:00Z</dcterms:created>
  <dcterms:modified xsi:type="dcterms:W3CDTF">2017-05-05T01:09:00Z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17.110.231</vt:lpwstr>
  </property>
</Properties>
</file>