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13263" w:rsidTr="00345119">
        <w:tc>
          <w:tcPr>
            <w:tcW w:w="9576" w:type="dxa"/>
            <w:noWrap/>
          </w:tcPr>
          <w:p w:rsidR="008423E4" w:rsidRPr="0022177D" w:rsidRDefault="000055DF" w:rsidP="00345119">
            <w:pPr>
              <w:pStyle w:val="Heading1"/>
            </w:pPr>
            <w:bookmarkStart w:id="0" w:name="_GoBack"/>
            <w:bookmarkEnd w:id="0"/>
            <w:r w:rsidRPr="00631897">
              <w:t>BILL ANALYSIS</w:t>
            </w:r>
          </w:p>
        </w:tc>
      </w:tr>
    </w:tbl>
    <w:p w:rsidR="008423E4" w:rsidRPr="0022177D" w:rsidRDefault="000055DF" w:rsidP="008423E4">
      <w:pPr>
        <w:jc w:val="center"/>
      </w:pPr>
    </w:p>
    <w:p w:rsidR="008423E4" w:rsidRPr="00B31F0E" w:rsidRDefault="000055DF" w:rsidP="008423E4"/>
    <w:p w:rsidR="008423E4" w:rsidRPr="00742794" w:rsidRDefault="000055DF" w:rsidP="008423E4">
      <w:pPr>
        <w:tabs>
          <w:tab w:val="right" w:pos="9360"/>
        </w:tabs>
      </w:pPr>
    </w:p>
    <w:tbl>
      <w:tblPr>
        <w:tblW w:w="0" w:type="auto"/>
        <w:tblLayout w:type="fixed"/>
        <w:tblLook w:val="01E0" w:firstRow="1" w:lastRow="1" w:firstColumn="1" w:lastColumn="1" w:noHBand="0" w:noVBand="0"/>
      </w:tblPr>
      <w:tblGrid>
        <w:gridCol w:w="9576"/>
      </w:tblGrid>
      <w:tr w:rsidR="00113263" w:rsidTr="00345119">
        <w:tc>
          <w:tcPr>
            <w:tcW w:w="9576" w:type="dxa"/>
          </w:tcPr>
          <w:p w:rsidR="008423E4" w:rsidRPr="00861995" w:rsidRDefault="000055DF" w:rsidP="00345119">
            <w:pPr>
              <w:jc w:val="right"/>
            </w:pPr>
            <w:r>
              <w:t>S.B. 1105</w:t>
            </w:r>
          </w:p>
        </w:tc>
      </w:tr>
      <w:tr w:rsidR="00113263" w:rsidTr="00345119">
        <w:tc>
          <w:tcPr>
            <w:tcW w:w="9576" w:type="dxa"/>
          </w:tcPr>
          <w:p w:rsidR="008423E4" w:rsidRPr="00861995" w:rsidRDefault="000055DF" w:rsidP="00000B5E">
            <w:pPr>
              <w:jc w:val="right"/>
            </w:pPr>
            <w:r>
              <w:t xml:space="preserve">By: </w:t>
            </w:r>
            <w:r>
              <w:t>Hinojosa</w:t>
            </w:r>
          </w:p>
        </w:tc>
      </w:tr>
      <w:tr w:rsidR="00113263" w:rsidTr="00345119">
        <w:tc>
          <w:tcPr>
            <w:tcW w:w="9576" w:type="dxa"/>
          </w:tcPr>
          <w:p w:rsidR="008423E4" w:rsidRPr="00861995" w:rsidRDefault="000055DF" w:rsidP="00345119">
            <w:pPr>
              <w:jc w:val="right"/>
            </w:pPr>
            <w:r>
              <w:t>Appropriations</w:t>
            </w:r>
          </w:p>
        </w:tc>
      </w:tr>
      <w:tr w:rsidR="00113263" w:rsidTr="00345119">
        <w:tc>
          <w:tcPr>
            <w:tcW w:w="9576" w:type="dxa"/>
          </w:tcPr>
          <w:p w:rsidR="008423E4" w:rsidRDefault="000055DF" w:rsidP="00345119">
            <w:pPr>
              <w:jc w:val="right"/>
            </w:pPr>
            <w:r>
              <w:t>Committee Report (Unamended)</w:t>
            </w:r>
          </w:p>
        </w:tc>
      </w:tr>
    </w:tbl>
    <w:p w:rsidR="008423E4" w:rsidRDefault="000055DF" w:rsidP="008423E4">
      <w:pPr>
        <w:tabs>
          <w:tab w:val="right" w:pos="9360"/>
        </w:tabs>
      </w:pPr>
    </w:p>
    <w:p w:rsidR="008423E4" w:rsidRDefault="000055DF" w:rsidP="008423E4"/>
    <w:p w:rsidR="008423E4" w:rsidRDefault="000055DF" w:rsidP="008423E4"/>
    <w:tbl>
      <w:tblPr>
        <w:tblW w:w="0" w:type="auto"/>
        <w:tblCellMar>
          <w:left w:w="115" w:type="dxa"/>
          <w:right w:w="115" w:type="dxa"/>
        </w:tblCellMar>
        <w:tblLook w:val="01E0" w:firstRow="1" w:lastRow="1" w:firstColumn="1" w:lastColumn="1" w:noHBand="0" w:noVBand="0"/>
      </w:tblPr>
      <w:tblGrid>
        <w:gridCol w:w="9576"/>
      </w:tblGrid>
      <w:tr w:rsidR="00113263" w:rsidTr="00345119">
        <w:tc>
          <w:tcPr>
            <w:tcW w:w="9576" w:type="dxa"/>
          </w:tcPr>
          <w:p w:rsidR="008423E4" w:rsidRPr="00A8133F" w:rsidRDefault="000055DF" w:rsidP="00E74F18">
            <w:pPr>
              <w:rPr>
                <w:b/>
              </w:rPr>
            </w:pPr>
            <w:r w:rsidRPr="009C1E9A">
              <w:rPr>
                <w:b/>
                <w:u w:val="single"/>
              </w:rPr>
              <w:t>BACKGROUND AND PURPOSE</w:t>
            </w:r>
            <w:r>
              <w:rPr>
                <w:b/>
              </w:rPr>
              <w:t xml:space="preserve"> </w:t>
            </w:r>
          </w:p>
          <w:p w:rsidR="008423E4" w:rsidRDefault="000055DF" w:rsidP="00E74F18"/>
          <w:p w:rsidR="008423E4" w:rsidRDefault="000055DF" w:rsidP="00E74F18">
            <w:pPr>
              <w:pStyle w:val="Header"/>
              <w:jc w:val="both"/>
            </w:pPr>
            <w:r>
              <w:t>Interested parties assert that t</w:t>
            </w:r>
            <w:r>
              <w:t xml:space="preserve">he water resource management account </w:t>
            </w:r>
            <w:r>
              <w:t xml:space="preserve">is at risk of </w:t>
            </w:r>
            <w:r>
              <w:t>depleti</w:t>
            </w:r>
            <w:r>
              <w:t>on</w:t>
            </w:r>
            <w:r>
              <w:t xml:space="preserve"> due to expenditures exceeding revenues</w:t>
            </w:r>
            <w:r>
              <w:t xml:space="preserve"> and that</w:t>
            </w:r>
            <w:r>
              <w:t xml:space="preserve"> </w:t>
            </w:r>
            <w:r>
              <w:t>t</w:t>
            </w:r>
            <w:r>
              <w:t>his trend is expected to continue absent a fee increase or an appropriations reduction for water programs</w:t>
            </w:r>
            <w:r>
              <w:t xml:space="preserve"> administered by the Texas Commission on Environmental Quality with funds from the account</w:t>
            </w:r>
            <w:r>
              <w:t>.</w:t>
            </w:r>
            <w:r>
              <w:t xml:space="preserve"> </w:t>
            </w:r>
            <w:r>
              <w:t>S.B. 1105</w:t>
            </w:r>
            <w:r>
              <w:t xml:space="preserve"> </w:t>
            </w:r>
            <w:r>
              <w:t>seeks to provide an alternative soluti</w:t>
            </w:r>
            <w:r>
              <w:t>on by diverting funds currently deposited in the used oil recycling account into the water resource management account, transferring the balance of the former to the latter, and abolishing the used oil recycling account.</w:t>
            </w:r>
          </w:p>
          <w:p w:rsidR="008423E4" w:rsidRPr="00E26B13" w:rsidRDefault="000055DF" w:rsidP="00E74F18">
            <w:pPr>
              <w:rPr>
                <w:b/>
              </w:rPr>
            </w:pPr>
          </w:p>
        </w:tc>
      </w:tr>
      <w:tr w:rsidR="00113263" w:rsidTr="00345119">
        <w:tc>
          <w:tcPr>
            <w:tcW w:w="9576" w:type="dxa"/>
          </w:tcPr>
          <w:p w:rsidR="0017725B" w:rsidRDefault="000055DF" w:rsidP="00E74F18">
            <w:pPr>
              <w:rPr>
                <w:b/>
                <w:u w:val="single"/>
              </w:rPr>
            </w:pPr>
            <w:r>
              <w:rPr>
                <w:b/>
                <w:u w:val="single"/>
              </w:rPr>
              <w:t>CRIMINAL JUSTICE IMPACT</w:t>
            </w:r>
          </w:p>
          <w:p w:rsidR="0017725B" w:rsidRDefault="000055DF" w:rsidP="00E74F18">
            <w:pPr>
              <w:rPr>
                <w:b/>
                <w:u w:val="single"/>
              </w:rPr>
            </w:pPr>
          </w:p>
          <w:p w:rsidR="002A0C60" w:rsidRPr="002A0C60" w:rsidRDefault="000055DF" w:rsidP="00E74F18">
            <w:pPr>
              <w:jc w:val="both"/>
            </w:pPr>
            <w:r>
              <w:t>It is th</w:t>
            </w:r>
            <w:r>
              <w:t>e committee's opinion that this bill does not expressly create a criminal offense, increase the punishment for an existing criminal offense or category of offenses, or change the eligibility of a person for community supervision, parole, or mandatory super</w:t>
            </w:r>
            <w:r>
              <w:t>vision.</w:t>
            </w:r>
          </w:p>
          <w:p w:rsidR="0017725B" w:rsidRPr="0017725B" w:rsidRDefault="000055DF" w:rsidP="00E74F18">
            <w:pPr>
              <w:rPr>
                <w:b/>
                <w:u w:val="single"/>
              </w:rPr>
            </w:pPr>
          </w:p>
        </w:tc>
      </w:tr>
      <w:tr w:rsidR="00113263" w:rsidTr="00345119">
        <w:tc>
          <w:tcPr>
            <w:tcW w:w="9576" w:type="dxa"/>
          </w:tcPr>
          <w:p w:rsidR="008423E4" w:rsidRPr="00A8133F" w:rsidRDefault="000055DF" w:rsidP="00E74F18">
            <w:pPr>
              <w:rPr>
                <w:b/>
              </w:rPr>
            </w:pPr>
            <w:r w:rsidRPr="009C1E9A">
              <w:rPr>
                <w:b/>
                <w:u w:val="single"/>
              </w:rPr>
              <w:t>RULEMAKING AUTHORITY</w:t>
            </w:r>
            <w:r>
              <w:rPr>
                <w:b/>
              </w:rPr>
              <w:t xml:space="preserve"> </w:t>
            </w:r>
          </w:p>
          <w:p w:rsidR="008423E4" w:rsidRDefault="000055DF" w:rsidP="00E74F18"/>
          <w:p w:rsidR="002A0C60" w:rsidRDefault="000055DF" w:rsidP="00E74F18">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0055DF" w:rsidP="00E74F18">
            <w:pPr>
              <w:rPr>
                <w:b/>
              </w:rPr>
            </w:pPr>
          </w:p>
        </w:tc>
      </w:tr>
      <w:tr w:rsidR="00113263" w:rsidTr="00345119">
        <w:tc>
          <w:tcPr>
            <w:tcW w:w="9576" w:type="dxa"/>
          </w:tcPr>
          <w:p w:rsidR="008423E4" w:rsidRPr="00A8133F" w:rsidRDefault="000055DF" w:rsidP="00E74F18">
            <w:pPr>
              <w:rPr>
                <w:b/>
              </w:rPr>
            </w:pPr>
            <w:r w:rsidRPr="009C1E9A">
              <w:rPr>
                <w:b/>
                <w:u w:val="single"/>
              </w:rPr>
              <w:t>ANALYSIS</w:t>
            </w:r>
            <w:r>
              <w:rPr>
                <w:b/>
              </w:rPr>
              <w:t xml:space="preserve"> </w:t>
            </w:r>
          </w:p>
          <w:p w:rsidR="008423E4" w:rsidRDefault="000055DF" w:rsidP="00E74F18"/>
          <w:p w:rsidR="000B5F2A" w:rsidRDefault="000055DF" w:rsidP="00E74F18">
            <w:pPr>
              <w:pStyle w:val="Header"/>
              <w:tabs>
                <w:tab w:val="clear" w:pos="4320"/>
                <w:tab w:val="clear" w:pos="8640"/>
              </w:tabs>
              <w:jc w:val="both"/>
            </w:pPr>
            <w:r>
              <w:t>S.B. 1105</w:t>
            </w:r>
            <w:r>
              <w:t>, on September 1, 2017,</w:t>
            </w:r>
            <w:r>
              <w:t xml:space="preserve"> transfers money remaining in the used oil recycling account to the water resource management account and</w:t>
            </w:r>
            <w:r>
              <w:t xml:space="preserve"> abolish</w:t>
            </w:r>
            <w:r>
              <w:t>es</w:t>
            </w:r>
            <w:r>
              <w:t xml:space="preserve"> the used oil recycling account</w:t>
            </w:r>
            <w:r>
              <w:t>.</w:t>
            </w:r>
            <w:r>
              <w:t xml:space="preserve"> </w:t>
            </w:r>
          </w:p>
          <w:p w:rsidR="000B5F2A" w:rsidRDefault="000055DF" w:rsidP="00E74F18">
            <w:pPr>
              <w:pStyle w:val="Header"/>
              <w:tabs>
                <w:tab w:val="clear" w:pos="4320"/>
                <w:tab w:val="clear" w:pos="8640"/>
              </w:tabs>
              <w:jc w:val="both"/>
            </w:pPr>
          </w:p>
          <w:p w:rsidR="008423E4" w:rsidRDefault="000055DF" w:rsidP="00E74F18">
            <w:pPr>
              <w:pStyle w:val="Header"/>
              <w:tabs>
                <w:tab w:val="clear" w:pos="4320"/>
                <w:tab w:val="clear" w:pos="8640"/>
              </w:tabs>
              <w:jc w:val="both"/>
            </w:pPr>
            <w:r>
              <w:t>S.B. 1105</w:t>
            </w:r>
            <w:r>
              <w:t xml:space="preserve"> amends the Health and Safety Code and the Water Code to provide for</w:t>
            </w:r>
            <w:r>
              <w:t xml:space="preserve"> the deposit of money previou</w:t>
            </w:r>
            <w:r>
              <w:t xml:space="preserve">sly deposited in the used oil recycling account into the water </w:t>
            </w:r>
            <w:r>
              <w:t>resource management account</w:t>
            </w:r>
            <w:r>
              <w:t xml:space="preserve"> and to provide for the use of that money</w:t>
            </w:r>
            <w:r>
              <w:t>.</w:t>
            </w:r>
          </w:p>
          <w:p w:rsidR="001E03F0" w:rsidRPr="00835628" w:rsidRDefault="000055DF" w:rsidP="00E74F18">
            <w:pPr>
              <w:pStyle w:val="Header"/>
              <w:tabs>
                <w:tab w:val="clear" w:pos="4320"/>
                <w:tab w:val="clear" w:pos="8640"/>
              </w:tabs>
              <w:jc w:val="both"/>
              <w:rPr>
                <w:b/>
              </w:rPr>
            </w:pPr>
          </w:p>
        </w:tc>
      </w:tr>
      <w:tr w:rsidR="00113263" w:rsidTr="00345119">
        <w:tc>
          <w:tcPr>
            <w:tcW w:w="9576" w:type="dxa"/>
          </w:tcPr>
          <w:p w:rsidR="008423E4" w:rsidRPr="00A8133F" w:rsidRDefault="000055DF" w:rsidP="00E74F18">
            <w:pPr>
              <w:rPr>
                <w:b/>
              </w:rPr>
            </w:pPr>
            <w:r w:rsidRPr="009C1E9A">
              <w:rPr>
                <w:b/>
                <w:u w:val="single"/>
              </w:rPr>
              <w:t>EFFECTIVE DATE</w:t>
            </w:r>
            <w:r>
              <w:rPr>
                <w:b/>
              </w:rPr>
              <w:t xml:space="preserve"> </w:t>
            </w:r>
          </w:p>
          <w:p w:rsidR="008423E4" w:rsidRDefault="000055DF" w:rsidP="00E74F18"/>
          <w:p w:rsidR="008423E4" w:rsidRPr="003624F2" w:rsidRDefault="000055DF" w:rsidP="00E74F18">
            <w:pPr>
              <w:pStyle w:val="Header"/>
              <w:tabs>
                <w:tab w:val="clear" w:pos="4320"/>
                <w:tab w:val="clear" w:pos="8640"/>
              </w:tabs>
              <w:jc w:val="both"/>
            </w:pPr>
            <w:r>
              <w:t>September 1, 2017.</w:t>
            </w:r>
          </w:p>
          <w:p w:rsidR="008423E4" w:rsidRPr="00233FDB" w:rsidRDefault="000055DF" w:rsidP="00E74F18">
            <w:pPr>
              <w:rPr>
                <w:b/>
              </w:rPr>
            </w:pPr>
          </w:p>
        </w:tc>
      </w:tr>
    </w:tbl>
    <w:p w:rsidR="004108C3" w:rsidRPr="008423E4" w:rsidRDefault="000055DF"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55DF">
      <w:r>
        <w:separator/>
      </w:r>
    </w:p>
  </w:endnote>
  <w:endnote w:type="continuationSeparator" w:id="0">
    <w:p w:rsidR="00000000" w:rsidRDefault="0000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00" w:rsidRDefault="00005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13263" w:rsidTr="009C1E9A">
      <w:trPr>
        <w:cantSplit/>
      </w:trPr>
      <w:tc>
        <w:tcPr>
          <w:tcW w:w="0" w:type="pct"/>
        </w:tcPr>
        <w:p w:rsidR="00137D90" w:rsidRDefault="000055DF" w:rsidP="009C1E9A">
          <w:pPr>
            <w:pStyle w:val="Footer"/>
            <w:tabs>
              <w:tab w:val="clear" w:pos="8640"/>
              <w:tab w:val="right" w:pos="9360"/>
            </w:tabs>
          </w:pPr>
        </w:p>
      </w:tc>
      <w:tc>
        <w:tcPr>
          <w:tcW w:w="2395" w:type="pct"/>
        </w:tcPr>
        <w:p w:rsidR="00137D90" w:rsidRDefault="000055DF" w:rsidP="009C1E9A">
          <w:pPr>
            <w:pStyle w:val="Footer"/>
            <w:tabs>
              <w:tab w:val="clear" w:pos="8640"/>
              <w:tab w:val="right" w:pos="9360"/>
            </w:tabs>
          </w:pPr>
        </w:p>
        <w:p w:rsidR="001A4310" w:rsidRDefault="000055DF" w:rsidP="009C1E9A">
          <w:pPr>
            <w:pStyle w:val="Footer"/>
            <w:tabs>
              <w:tab w:val="clear" w:pos="8640"/>
              <w:tab w:val="right" w:pos="9360"/>
            </w:tabs>
          </w:pPr>
        </w:p>
        <w:p w:rsidR="00137D90" w:rsidRDefault="000055DF" w:rsidP="009C1E9A">
          <w:pPr>
            <w:pStyle w:val="Footer"/>
            <w:tabs>
              <w:tab w:val="clear" w:pos="8640"/>
              <w:tab w:val="right" w:pos="9360"/>
            </w:tabs>
          </w:pPr>
        </w:p>
      </w:tc>
      <w:tc>
        <w:tcPr>
          <w:tcW w:w="2453" w:type="pct"/>
        </w:tcPr>
        <w:p w:rsidR="00137D90" w:rsidRDefault="000055DF" w:rsidP="009C1E9A">
          <w:pPr>
            <w:pStyle w:val="Footer"/>
            <w:tabs>
              <w:tab w:val="clear" w:pos="8640"/>
              <w:tab w:val="right" w:pos="9360"/>
            </w:tabs>
            <w:jc w:val="right"/>
          </w:pPr>
        </w:p>
      </w:tc>
    </w:tr>
    <w:tr w:rsidR="00113263" w:rsidTr="009C1E9A">
      <w:trPr>
        <w:cantSplit/>
      </w:trPr>
      <w:tc>
        <w:tcPr>
          <w:tcW w:w="0" w:type="pct"/>
        </w:tcPr>
        <w:p w:rsidR="00EC379B" w:rsidRDefault="000055DF" w:rsidP="009C1E9A">
          <w:pPr>
            <w:pStyle w:val="Footer"/>
            <w:tabs>
              <w:tab w:val="clear" w:pos="8640"/>
              <w:tab w:val="right" w:pos="9360"/>
            </w:tabs>
          </w:pPr>
        </w:p>
      </w:tc>
      <w:tc>
        <w:tcPr>
          <w:tcW w:w="2395" w:type="pct"/>
        </w:tcPr>
        <w:p w:rsidR="00EC379B" w:rsidRPr="009C1E9A" w:rsidRDefault="000055DF" w:rsidP="009C1E9A">
          <w:pPr>
            <w:pStyle w:val="Footer"/>
            <w:tabs>
              <w:tab w:val="clear" w:pos="8640"/>
              <w:tab w:val="right" w:pos="9360"/>
            </w:tabs>
            <w:rPr>
              <w:rFonts w:ascii="Shruti" w:hAnsi="Shruti"/>
              <w:sz w:val="22"/>
            </w:rPr>
          </w:pPr>
          <w:r>
            <w:rPr>
              <w:rFonts w:ascii="Shruti" w:hAnsi="Shruti"/>
              <w:sz w:val="22"/>
            </w:rPr>
            <w:t>85R 31226</w:t>
          </w:r>
        </w:p>
      </w:tc>
      <w:tc>
        <w:tcPr>
          <w:tcW w:w="2453" w:type="pct"/>
        </w:tcPr>
        <w:p w:rsidR="00EC379B" w:rsidRDefault="000055DF" w:rsidP="009C1E9A">
          <w:pPr>
            <w:pStyle w:val="Footer"/>
            <w:tabs>
              <w:tab w:val="clear" w:pos="8640"/>
              <w:tab w:val="right" w:pos="9360"/>
            </w:tabs>
            <w:jc w:val="right"/>
          </w:pPr>
          <w:r>
            <w:fldChar w:fldCharType="begin"/>
          </w:r>
          <w:r>
            <w:instrText xml:space="preserve"> DOCPROPERTY  OTID  \* MERGEFORMAT </w:instrText>
          </w:r>
          <w:r>
            <w:fldChar w:fldCharType="separate"/>
          </w:r>
          <w:r>
            <w:t>17.136.17</w:t>
          </w:r>
          <w:r>
            <w:fldChar w:fldCharType="end"/>
          </w:r>
        </w:p>
      </w:tc>
    </w:tr>
    <w:tr w:rsidR="00113263" w:rsidTr="009C1E9A">
      <w:trPr>
        <w:cantSplit/>
      </w:trPr>
      <w:tc>
        <w:tcPr>
          <w:tcW w:w="0" w:type="pct"/>
        </w:tcPr>
        <w:p w:rsidR="00EC379B" w:rsidRDefault="000055DF" w:rsidP="009C1E9A">
          <w:pPr>
            <w:pStyle w:val="Footer"/>
            <w:tabs>
              <w:tab w:val="clear" w:pos="4320"/>
              <w:tab w:val="clear" w:pos="8640"/>
              <w:tab w:val="left" w:pos="2865"/>
            </w:tabs>
          </w:pPr>
        </w:p>
      </w:tc>
      <w:tc>
        <w:tcPr>
          <w:tcW w:w="2395" w:type="pct"/>
        </w:tcPr>
        <w:p w:rsidR="00EC379B" w:rsidRPr="009C1E9A" w:rsidRDefault="000055DF" w:rsidP="009C1E9A">
          <w:pPr>
            <w:pStyle w:val="Footer"/>
            <w:tabs>
              <w:tab w:val="clear" w:pos="4320"/>
              <w:tab w:val="clear" w:pos="8640"/>
              <w:tab w:val="left" w:pos="2865"/>
            </w:tabs>
            <w:rPr>
              <w:rFonts w:ascii="Shruti" w:hAnsi="Shruti"/>
              <w:sz w:val="22"/>
            </w:rPr>
          </w:pPr>
        </w:p>
      </w:tc>
      <w:tc>
        <w:tcPr>
          <w:tcW w:w="2453" w:type="pct"/>
        </w:tcPr>
        <w:p w:rsidR="00EC379B" w:rsidRDefault="000055DF" w:rsidP="006D504F">
          <w:pPr>
            <w:pStyle w:val="Footer"/>
            <w:rPr>
              <w:rStyle w:val="PageNumber"/>
            </w:rPr>
          </w:pPr>
        </w:p>
        <w:p w:rsidR="00EC379B" w:rsidRDefault="000055DF" w:rsidP="009C1E9A">
          <w:pPr>
            <w:pStyle w:val="Footer"/>
            <w:tabs>
              <w:tab w:val="clear" w:pos="8640"/>
              <w:tab w:val="right" w:pos="9360"/>
            </w:tabs>
            <w:jc w:val="right"/>
          </w:pPr>
        </w:p>
      </w:tc>
    </w:tr>
    <w:tr w:rsidR="00113263" w:rsidTr="009C1E9A">
      <w:trPr>
        <w:cantSplit/>
        <w:trHeight w:val="323"/>
      </w:trPr>
      <w:tc>
        <w:tcPr>
          <w:tcW w:w="0" w:type="pct"/>
          <w:gridSpan w:val="3"/>
        </w:tcPr>
        <w:p w:rsidR="00EC379B" w:rsidRDefault="000055D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0055DF" w:rsidP="009C1E9A">
          <w:pPr>
            <w:pStyle w:val="Footer"/>
            <w:tabs>
              <w:tab w:val="clear" w:pos="8640"/>
              <w:tab w:val="right" w:pos="9360"/>
            </w:tabs>
            <w:jc w:val="center"/>
          </w:pPr>
        </w:p>
      </w:tc>
    </w:tr>
  </w:tbl>
  <w:p w:rsidR="00EC379B" w:rsidRPr="00FF6F72" w:rsidRDefault="000055DF"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00" w:rsidRDefault="00005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55DF">
      <w:r>
        <w:separator/>
      </w:r>
    </w:p>
  </w:footnote>
  <w:footnote w:type="continuationSeparator" w:id="0">
    <w:p w:rsidR="00000000" w:rsidRDefault="00005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00" w:rsidRDefault="00005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00" w:rsidRDefault="000055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00" w:rsidRDefault="00005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63"/>
    <w:rsid w:val="000055DF"/>
    <w:rsid w:val="0011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8778E"/>
    <w:rPr>
      <w:sz w:val="16"/>
      <w:szCs w:val="16"/>
    </w:rPr>
  </w:style>
  <w:style w:type="paragraph" w:styleId="CommentText">
    <w:name w:val="annotation text"/>
    <w:basedOn w:val="Normal"/>
    <w:link w:val="CommentTextChar"/>
    <w:rsid w:val="0018778E"/>
    <w:rPr>
      <w:sz w:val="20"/>
      <w:szCs w:val="20"/>
    </w:rPr>
  </w:style>
  <w:style w:type="character" w:customStyle="1" w:styleId="CommentTextChar">
    <w:name w:val="Comment Text Char"/>
    <w:basedOn w:val="DefaultParagraphFont"/>
    <w:link w:val="CommentText"/>
    <w:rsid w:val="0018778E"/>
  </w:style>
  <w:style w:type="paragraph" w:styleId="CommentSubject">
    <w:name w:val="annotation subject"/>
    <w:basedOn w:val="CommentText"/>
    <w:next w:val="CommentText"/>
    <w:link w:val="CommentSubjectChar"/>
    <w:rsid w:val="0018778E"/>
    <w:rPr>
      <w:b/>
      <w:bCs/>
    </w:rPr>
  </w:style>
  <w:style w:type="character" w:customStyle="1" w:styleId="CommentSubjectChar">
    <w:name w:val="Comment Subject Char"/>
    <w:basedOn w:val="CommentTextChar"/>
    <w:link w:val="CommentSubject"/>
    <w:rsid w:val="001877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8778E"/>
    <w:rPr>
      <w:sz w:val="16"/>
      <w:szCs w:val="16"/>
    </w:rPr>
  </w:style>
  <w:style w:type="paragraph" w:styleId="CommentText">
    <w:name w:val="annotation text"/>
    <w:basedOn w:val="Normal"/>
    <w:link w:val="CommentTextChar"/>
    <w:rsid w:val="0018778E"/>
    <w:rPr>
      <w:sz w:val="20"/>
      <w:szCs w:val="20"/>
    </w:rPr>
  </w:style>
  <w:style w:type="character" w:customStyle="1" w:styleId="CommentTextChar">
    <w:name w:val="Comment Text Char"/>
    <w:basedOn w:val="DefaultParagraphFont"/>
    <w:link w:val="CommentText"/>
    <w:rsid w:val="0018778E"/>
  </w:style>
  <w:style w:type="paragraph" w:styleId="CommentSubject">
    <w:name w:val="annotation subject"/>
    <w:basedOn w:val="CommentText"/>
    <w:next w:val="CommentText"/>
    <w:link w:val="CommentSubjectChar"/>
    <w:rsid w:val="0018778E"/>
    <w:rPr>
      <w:b/>
      <w:bCs/>
    </w:rPr>
  </w:style>
  <w:style w:type="character" w:customStyle="1" w:styleId="CommentSubjectChar">
    <w:name w:val="Comment Subject Char"/>
    <w:basedOn w:val="CommentTextChar"/>
    <w:link w:val="CommentSubject"/>
    <w:rsid w:val="00187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1402</Characters>
  <Application>Microsoft Office Word</Application>
  <DocSecurity>4</DocSecurity>
  <Lines>45</Lines>
  <Paragraphs>16</Paragraphs>
  <ScaleCrop>false</ScaleCrop>
  <HeadingPairs>
    <vt:vector size="2" baseType="variant">
      <vt:variant>
        <vt:lpstr>Title</vt:lpstr>
      </vt:variant>
      <vt:variant>
        <vt:i4>1</vt:i4>
      </vt:variant>
    </vt:vector>
  </HeadingPairs>
  <TitlesOfParts>
    <vt:vector size="1" baseType="lpstr">
      <vt:lpstr>BA - HB03026 (Committee Report (Substituted))</vt:lpstr>
    </vt:vector>
  </TitlesOfParts>
  <Company>State of Texas</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31226</dc:subject>
  <dc:creator>State of Texas</dc:creator>
  <dc:description>SB 1105 by Hinojosa-(H)Appropriations</dc:description>
  <cp:lastModifiedBy>Brianna Weis</cp:lastModifiedBy>
  <cp:revision>2</cp:revision>
  <cp:lastPrinted>2017-04-20T21:38:00Z</cp:lastPrinted>
  <dcterms:created xsi:type="dcterms:W3CDTF">2017-05-17T18:26:00Z</dcterms:created>
  <dcterms:modified xsi:type="dcterms:W3CDTF">2017-05-17T18:26:00Z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17.136.17</vt:lpwstr>
  </property>
</Properties>
</file>