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0B3A55" w:rsidTr="00345119">
        <w:tc>
          <w:tcPr>
            <w:tcW w:w="9576" w:type="dxa"/>
            <w:noWrap/>
          </w:tcPr>
          <w:p w:rsidR="008423E4" w:rsidRPr="0022177D" w:rsidRDefault="00BE4CF6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BE4CF6" w:rsidP="008423E4">
      <w:pPr>
        <w:jc w:val="center"/>
      </w:pPr>
    </w:p>
    <w:p w:rsidR="008423E4" w:rsidRPr="00B31F0E" w:rsidRDefault="00BE4CF6" w:rsidP="008423E4"/>
    <w:p w:rsidR="008423E4" w:rsidRPr="00742794" w:rsidRDefault="00BE4CF6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0B3A55" w:rsidTr="00345119">
        <w:tc>
          <w:tcPr>
            <w:tcW w:w="9576" w:type="dxa"/>
          </w:tcPr>
          <w:p w:rsidR="008423E4" w:rsidRPr="00861995" w:rsidRDefault="00BE4CF6" w:rsidP="00345119">
            <w:pPr>
              <w:jc w:val="right"/>
            </w:pPr>
            <w:r>
              <w:t>H.B. 2334</w:t>
            </w:r>
          </w:p>
        </w:tc>
      </w:tr>
      <w:tr w:rsidR="000B3A55" w:rsidTr="00345119">
        <w:tc>
          <w:tcPr>
            <w:tcW w:w="9576" w:type="dxa"/>
          </w:tcPr>
          <w:p w:rsidR="008423E4" w:rsidRPr="00861995" w:rsidRDefault="00BE4CF6" w:rsidP="001D26A2">
            <w:pPr>
              <w:jc w:val="right"/>
            </w:pPr>
            <w:r>
              <w:t xml:space="preserve">By: </w:t>
            </w:r>
            <w:r>
              <w:t>Oliverson</w:t>
            </w:r>
          </w:p>
        </w:tc>
      </w:tr>
      <w:tr w:rsidR="000B3A55" w:rsidTr="00345119">
        <w:tc>
          <w:tcPr>
            <w:tcW w:w="9576" w:type="dxa"/>
          </w:tcPr>
          <w:p w:rsidR="008423E4" w:rsidRPr="00861995" w:rsidRDefault="00BE4CF6" w:rsidP="00345119">
            <w:pPr>
              <w:jc w:val="right"/>
            </w:pPr>
            <w:r>
              <w:t>Natural Resources</w:t>
            </w:r>
          </w:p>
        </w:tc>
      </w:tr>
      <w:tr w:rsidR="000B3A55" w:rsidTr="00345119">
        <w:tc>
          <w:tcPr>
            <w:tcW w:w="9576" w:type="dxa"/>
          </w:tcPr>
          <w:p w:rsidR="008423E4" w:rsidRDefault="00BE4CF6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BE4CF6" w:rsidP="008423E4">
      <w:pPr>
        <w:tabs>
          <w:tab w:val="right" w:pos="9360"/>
        </w:tabs>
      </w:pPr>
    </w:p>
    <w:p w:rsidR="008423E4" w:rsidRDefault="00BE4CF6" w:rsidP="008423E4"/>
    <w:p w:rsidR="008423E4" w:rsidRDefault="00BE4CF6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0B3A55" w:rsidTr="00345119">
        <w:tc>
          <w:tcPr>
            <w:tcW w:w="9576" w:type="dxa"/>
          </w:tcPr>
          <w:p w:rsidR="008423E4" w:rsidRPr="00A8133F" w:rsidRDefault="00BE4CF6" w:rsidP="00B52AE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7A05FB" w:rsidRDefault="00BE4CF6" w:rsidP="00B52AE1"/>
          <w:p w:rsidR="008423E4" w:rsidRDefault="00BE4CF6" w:rsidP="00B52AE1">
            <w:pPr>
              <w:pStyle w:val="Header"/>
              <w:jc w:val="both"/>
            </w:pPr>
            <w:r>
              <w:t xml:space="preserve">Interested parties note a dissonance between the civil and criminal penalties under the </w:t>
            </w:r>
            <w:r w:rsidRPr="00651295">
              <w:t>Flood Control and Insurance Act</w:t>
            </w:r>
            <w:r>
              <w:t xml:space="preserve"> in that the civil penalty </w:t>
            </w:r>
            <w:r>
              <w:t xml:space="preserve">covers a violation of the act or of a related rule or order whereas the criminal penalty only covers a violation of the act. </w:t>
            </w:r>
            <w:r>
              <w:t>H</w:t>
            </w:r>
            <w:r>
              <w:t>.</w:t>
            </w:r>
            <w:r>
              <w:t>B</w:t>
            </w:r>
            <w:r>
              <w:t>.</w:t>
            </w:r>
            <w:r>
              <w:t xml:space="preserve"> 2334 </w:t>
            </w:r>
            <w:r>
              <w:t>seeks to address this issue to</w:t>
            </w:r>
            <w:r>
              <w:t xml:space="preserve"> create consistency between the civil </w:t>
            </w:r>
            <w:r>
              <w:t xml:space="preserve">penalty </w:t>
            </w:r>
            <w:r>
              <w:t xml:space="preserve">and </w:t>
            </w:r>
            <w:r>
              <w:t xml:space="preserve">the </w:t>
            </w:r>
            <w:r>
              <w:t>criminal p</w:t>
            </w:r>
            <w:r>
              <w:t>enalty</w:t>
            </w:r>
            <w:r>
              <w:t xml:space="preserve"> for such violation</w:t>
            </w:r>
            <w:r>
              <w:t>.</w:t>
            </w:r>
          </w:p>
          <w:p w:rsidR="008423E4" w:rsidRPr="00E26B13" w:rsidRDefault="00BE4CF6" w:rsidP="00B52AE1">
            <w:pPr>
              <w:rPr>
                <w:b/>
              </w:rPr>
            </w:pPr>
          </w:p>
        </w:tc>
      </w:tr>
      <w:tr w:rsidR="000B3A55" w:rsidTr="00345119">
        <w:tc>
          <w:tcPr>
            <w:tcW w:w="9576" w:type="dxa"/>
          </w:tcPr>
          <w:p w:rsidR="0017725B" w:rsidRDefault="00BE4CF6" w:rsidP="00B52AE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BE4CF6" w:rsidP="00B52AE1">
            <w:pPr>
              <w:rPr>
                <w:b/>
                <w:u w:val="single"/>
              </w:rPr>
            </w:pPr>
          </w:p>
          <w:p w:rsidR="00BD5910" w:rsidRPr="00BD5910" w:rsidRDefault="00BE4CF6" w:rsidP="00B52AE1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or category of offenses, or change the eligibility of </w:t>
            </w:r>
            <w:r>
              <w:t>a person for community supervision, parole, or mandatory supervision.</w:t>
            </w:r>
          </w:p>
          <w:p w:rsidR="0017725B" w:rsidRPr="0017725B" w:rsidRDefault="00BE4CF6" w:rsidP="00B52AE1">
            <w:pPr>
              <w:rPr>
                <w:b/>
                <w:u w:val="single"/>
              </w:rPr>
            </w:pPr>
          </w:p>
        </w:tc>
      </w:tr>
      <w:tr w:rsidR="000B3A55" w:rsidTr="00345119">
        <w:tc>
          <w:tcPr>
            <w:tcW w:w="9576" w:type="dxa"/>
          </w:tcPr>
          <w:p w:rsidR="008423E4" w:rsidRPr="00A8133F" w:rsidRDefault="00BE4CF6" w:rsidP="00B52AE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BE4CF6" w:rsidP="00B52AE1"/>
          <w:p w:rsidR="00BD5910" w:rsidRDefault="00BE4CF6" w:rsidP="00B52AE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BE4CF6" w:rsidP="00B52AE1">
            <w:pPr>
              <w:rPr>
                <w:b/>
              </w:rPr>
            </w:pPr>
          </w:p>
        </w:tc>
      </w:tr>
      <w:tr w:rsidR="000B3A55" w:rsidTr="00345119">
        <w:tc>
          <w:tcPr>
            <w:tcW w:w="9576" w:type="dxa"/>
          </w:tcPr>
          <w:p w:rsidR="008423E4" w:rsidRPr="00A8133F" w:rsidRDefault="00BE4CF6" w:rsidP="00B52AE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BE4CF6" w:rsidP="00B52AE1"/>
          <w:p w:rsidR="008423E4" w:rsidRDefault="00BE4CF6" w:rsidP="00B52AE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2334 amends the Water Code to </w:t>
            </w:r>
            <w:r>
              <w:t>expand the conduct that constitutes the Class C misdemeanor offense involving violating</w:t>
            </w:r>
            <w:r>
              <w:t xml:space="preserve"> the </w:t>
            </w:r>
            <w:r w:rsidRPr="00BD5910">
              <w:t>Flood Control and Insurance Act</w:t>
            </w:r>
            <w:r>
              <w:t xml:space="preserve"> to include violating a rule adopted or order issued under the act</w:t>
            </w:r>
            <w:r w:rsidRPr="00BD5910">
              <w:t>.</w:t>
            </w:r>
          </w:p>
          <w:p w:rsidR="008423E4" w:rsidRPr="00835628" w:rsidRDefault="00BE4CF6" w:rsidP="00B52AE1">
            <w:pPr>
              <w:rPr>
                <w:b/>
              </w:rPr>
            </w:pPr>
          </w:p>
        </w:tc>
      </w:tr>
      <w:tr w:rsidR="000B3A55" w:rsidTr="00345119">
        <w:tc>
          <w:tcPr>
            <w:tcW w:w="9576" w:type="dxa"/>
          </w:tcPr>
          <w:p w:rsidR="008423E4" w:rsidRPr="00A8133F" w:rsidRDefault="00BE4CF6" w:rsidP="00B52AE1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BE4CF6" w:rsidP="00B52AE1"/>
          <w:p w:rsidR="008423E4" w:rsidRPr="003624F2" w:rsidRDefault="00BE4CF6" w:rsidP="00B52AE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BE4CF6" w:rsidP="00B52AE1">
            <w:pPr>
              <w:rPr>
                <w:b/>
              </w:rPr>
            </w:pPr>
          </w:p>
        </w:tc>
      </w:tr>
    </w:tbl>
    <w:p w:rsidR="008423E4" w:rsidRPr="00BE0E75" w:rsidRDefault="00BE4CF6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BE4CF6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4CF6">
      <w:r>
        <w:separator/>
      </w:r>
    </w:p>
  </w:endnote>
  <w:endnote w:type="continuationSeparator" w:id="0">
    <w:p w:rsidR="00000000" w:rsidRDefault="00BE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0B3A55" w:rsidTr="009C1E9A">
      <w:trPr>
        <w:cantSplit/>
      </w:trPr>
      <w:tc>
        <w:tcPr>
          <w:tcW w:w="0" w:type="pct"/>
        </w:tcPr>
        <w:p w:rsidR="00137D90" w:rsidRDefault="00BE4CF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BE4CF6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BE4CF6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BE4CF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BE4CF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B3A55" w:rsidTr="009C1E9A">
      <w:trPr>
        <w:cantSplit/>
      </w:trPr>
      <w:tc>
        <w:tcPr>
          <w:tcW w:w="0" w:type="pct"/>
        </w:tcPr>
        <w:p w:rsidR="00EC379B" w:rsidRDefault="00BE4CF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BE4CF6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20645</w:t>
          </w:r>
        </w:p>
      </w:tc>
      <w:tc>
        <w:tcPr>
          <w:tcW w:w="2453" w:type="pct"/>
        </w:tcPr>
        <w:p w:rsidR="00EC379B" w:rsidRDefault="00BE4CF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17.90.1250</w:t>
          </w:r>
          <w:r>
            <w:fldChar w:fldCharType="end"/>
          </w:r>
        </w:p>
      </w:tc>
    </w:tr>
    <w:tr w:rsidR="000B3A55" w:rsidTr="009C1E9A">
      <w:trPr>
        <w:cantSplit/>
      </w:trPr>
      <w:tc>
        <w:tcPr>
          <w:tcW w:w="0" w:type="pct"/>
        </w:tcPr>
        <w:p w:rsidR="00EC379B" w:rsidRDefault="00BE4CF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BE4CF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BE4CF6" w:rsidP="006D504F">
          <w:pPr>
            <w:pStyle w:val="Footer"/>
            <w:rPr>
              <w:rStyle w:val="PageNumber"/>
            </w:rPr>
          </w:pPr>
        </w:p>
        <w:p w:rsidR="00EC379B" w:rsidRDefault="00BE4CF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B3A55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BE4CF6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BE4CF6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BE4CF6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4CF6">
      <w:r>
        <w:separator/>
      </w:r>
    </w:p>
  </w:footnote>
  <w:footnote w:type="continuationSeparator" w:id="0">
    <w:p w:rsidR="00000000" w:rsidRDefault="00BE4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55"/>
    <w:rsid w:val="000B3A55"/>
    <w:rsid w:val="00BE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BD59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59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5910"/>
  </w:style>
  <w:style w:type="paragraph" w:styleId="CommentSubject">
    <w:name w:val="annotation subject"/>
    <w:basedOn w:val="CommentText"/>
    <w:next w:val="CommentText"/>
    <w:link w:val="CommentSubjectChar"/>
    <w:rsid w:val="00BD59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5910"/>
    <w:rPr>
      <w:b/>
      <w:bCs/>
    </w:rPr>
  </w:style>
  <w:style w:type="character" w:styleId="Hyperlink">
    <w:name w:val="Hyperlink"/>
    <w:basedOn w:val="DefaultParagraphFont"/>
    <w:rsid w:val="00A023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B3B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BD59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59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5910"/>
  </w:style>
  <w:style w:type="paragraph" w:styleId="CommentSubject">
    <w:name w:val="annotation subject"/>
    <w:basedOn w:val="CommentText"/>
    <w:next w:val="CommentText"/>
    <w:link w:val="CommentSubjectChar"/>
    <w:rsid w:val="00BD59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5910"/>
    <w:rPr>
      <w:b/>
      <w:bCs/>
    </w:rPr>
  </w:style>
  <w:style w:type="character" w:styleId="Hyperlink">
    <w:name w:val="Hyperlink"/>
    <w:basedOn w:val="DefaultParagraphFont"/>
    <w:rsid w:val="00A023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B3B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1063</Characters>
  <Application>Microsoft Office Word</Application>
  <DocSecurity>4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HB02334 (Committee Report (Unamended))</vt:lpstr>
    </vt:vector>
  </TitlesOfParts>
  <Company>State of Texas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20645</dc:subject>
  <dc:creator>State of Texas</dc:creator>
  <dc:description>HB 2334 by Oliverson-(H)Natural Resources</dc:description>
  <cp:lastModifiedBy>Alexander McMillan</cp:lastModifiedBy>
  <cp:revision>2</cp:revision>
  <cp:lastPrinted>2017-04-02T17:57:00Z</cp:lastPrinted>
  <dcterms:created xsi:type="dcterms:W3CDTF">2017-04-25T23:30:00Z</dcterms:created>
  <dcterms:modified xsi:type="dcterms:W3CDTF">2017-04-25T23:30:00Z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17.90.1250</vt:lpwstr>
  </property>
</Properties>
</file>