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93C21" w:rsidTr="00345119">
        <w:tc>
          <w:tcPr>
            <w:tcW w:w="9576" w:type="dxa"/>
            <w:noWrap/>
          </w:tcPr>
          <w:p w:rsidR="008423E4" w:rsidRPr="0022177D" w:rsidRDefault="00B9468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94685" w:rsidP="008423E4">
      <w:pPr>
        <w:jc w:val="center"/>
      </w:pPr>
    </w:p>
    <w:p w:rsidR="008423E4" w:rsidRPr="00B31F0E" w:rsidRDefault="00B94685" w:rsidP="008423E4"/>
    <w:p w:rsidR="008423E4" w:rsidRPr="00742794" w:rsidRDefault="00B9468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93C21" w:rsidTr="00345119">
        <w:tc>
          <w:tcPr>
            <w:tcW w:w="9576" w:type="dxa"/>
          </w:tcPr>
          <w:p w:rsidR="008423E4" w:rsidRPr="00861995" w:rsidRDefault="00B94685" w:rsidP="00345119">
            <w:pPr>
              <w:jc w:val="right"/>
            </w:pPr>
            <w:r>
              <w:t>C.S.H.B. 1533</w:t>
            </w:r>
          </w:p>
        </w:tc>
      </w:tr>
      <w:tr w:rsidR="00093C21" w:rsidTr="00345119">
        <w:tc>
          <w:tcPr>
            <w:tcW w:w="9576" w:type="dxa"/>
          </w:tcPr>
          <w:p w:rsidR="008423E4" w:rsidRPr="00861995" w:rsidRDefault="00B94685" w:rsidP="00E85A0F">
            <w:pPr>
              <w:jc w:val="right"/>
            </w:pPr>
            <w:r>
              <w:t xml:space="preserve">By: </w:t>
            </w:r>
            <w:r>
              <w:t>Farrar</w:t>
            </w:r>
          </w:p>
        </w:tc>
      </w:tr>
      <w:tr w:rsidR="00093C21" w:rsidTr="00345119">
        <w:tc>
          <w:tcPr>
            <w:tcW w:w="9576" w:type="dxa"/>
          </w:tcPr>
          <w:p w:rsidR="008423E4" w:rsidRPr="00861995" w:rsidRDefault="00B94685" w:rsidP="00345119">
            <w:pPr>
              <w:jc w:val="right"/>
            </w:pPr>
            <w:r>
              <w:t>Human Services</w:t>
            </w:r>
          </w:p>
        </w:tc>
      </w:tr>
      <w:tr w:rsidR="00093C21" w:rsidTr="00345119">
        <w:tc>
          <w:tcPr>
            <w:tcW w:w="9576" w:type="dxa"/>
          </w:tcPr>
          <w:p w:rsidR="008423E4" w:rsidRDefault="00B94685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B94685" w:rsidP="008423E4">
      <w:pPr>
        <w:tabs>
          <w:tab w:val="right" w:pos="9360"/>
        </w:tabs>
      </w:pPr>
    </w:p>
    <w:p w:rsidR="008423E4" w:rsidRDefault="00B94685" w:rsidP="008423E4"/>
    <w:p w:rsidR="008423E4" w:rsidRDefault="00B9468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093C21" w:rsidTr="00A13AFB">
        <w:tc>
          <w:tcPr>
            <w:tcW w:w="9582" w:type="dxa"/>
          </w:tcPr>
          <w:p w:rsidR="008423E4" w:rsidRPr="00A8133F" w:rsidRDefault="00B94685" w:rsidP="004D48A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94685" w:rsidP="004D48AB"/>
          <w:p w:rsidR="008423E4" w:rsidRDefault="00B94685" w:rsidP="004D48AB">
            <w:pPr>
              <w:pStyle w:val="Header"/>
              <w:jc w:val="both"/>
            </w:pPr>
            <w:r>
              <w:t>Interested parties note that many</w:t>
            </w:r>
            <w:r>
              <w:t xml:space="preserve"> states have </w:t>
            </w:r>
            <w:r>
              <w:t xml:space="preserve">either removed </w:t>
            </w:r>
            <w:r>
              <w:t xml:space="preserve">the asset test </w:t>
            </w:r>
            <w:r>
              <w:t xml:space="preserve">or excluded vehicles from determinations with regard to </w:t>
            </w:r>
            <w:r>
              <w:t>supplemental nutrition assistance program (SNAP)</w:t>
            </w:r>
            <w:r>
              <w:t xml:space="preserve"> eligibility. </w:t>
            </w:r>
            <w:r>
              <w:t>C.S.</w:t>
            </w:r>
            <w:r>
              <w:t xml:space="preserve">H.B. 1533 seeks to </w:t>
            </w:r>
            <w:r>
              <w:t xml:space="preserve">increase </w:t>
            </w:r>
            <w:r>
              <w:t xml:space="preserve">SNAP </w:t>
            </w:r>
            <w:r>
              <w:t xml:space="preserve">eligibility </w:t>
            </w:r>
            <w:r>
              <w:t xml:space="preserve">by prohibiting the Health and Human Services Commission from considering motor vehicle ownership interests </w:t>
            </w:r>
            <w:r>
              <w:t xml:space="preserve">of a certain value </w:t>
            </w:r>
            <w:r>
              <w:t>when reviewing a ho</w:t>
            </w:r>
            <w:r>
              <w:t>usehold's resources for purposes of determining SNAP eligibility.</w:t>
            </w:r>
          </w:p>
          <w:p w:rsidR="008423E4" w:rsidRPr="00E26B13" w:rsidRDefault="00B94685" w:rsidP="004D48AB">
            <w:pPr>
              <w:rPr>
                <w:b/>
              </w:rPr>
            </w:pPr>
          </w:p>
        </w:tc>
      </w:tr>
      <w:tr w:rsidR="00093C21" w:rsidTr="00A13AFB">
        <w:tc>
          <w:tcPr>
            <w:tcW w:w="9582" w:type="dxa"/>
          </w:tcPr>
          <w:p w:rsidR="0017725B" w:rsidRDefault="00B94685" w:rsidP="004D48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94685" w:rsidP="004D48AB">
            <w:pPr>
              <w:rPr>
                <w:b/>
                <w:u w:val="single"/>
              </w:rPr>
            </w:pPr>
          </w:p>
          <w:p w:rsidR="00540928" w:rsidRPr="00540928" w:rsidRDefault="00B94685" w:rsidP="004D48AB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</w:t>
            </w:r>
            <w:r>
              <w:t>offenses, or change the eligibility of a person for community supervision, parole, or mandatory supervision.</w:t>
            </w:r>
          </w:p>
          <w:p w:rsidR="0017725B" w:rsidRPr="0017725B" w:rsidRDefault="00B94685" w:rsidP="004D48AB">
            <w:pPr>
              <w:rPr>
                <w:b/>
                <w:u w:val="single"/>
              </w:rPr>
            </w:pPr>
          </w:p>
        </w:tc>
      </w:tr>
      <w:tr w:rsidR="00093C21" w:rsidTr="00A13AFB">
        <w:tc>
          <w:tcPr>
            <w:tcW w:w="9582" w:type="dxa"/>
          </w:tcPr>
          <w:p w:rsidR="008423E4" w:rsidRPr="00A8133F" w:rsidRDefault="00B94685" w:rsidP="004D48A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94685" w:rsidP="004D48AB"/>
          <w:p w:rsidR="00540928" w:rsidRDefault="00B94685" w:rsidP="004D48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</w:t>
            </w:r>
            <w:r>
              <w:t>officer, department, agency, or institution.</w:t>
            </w:r>
          </w:p>
          <w:p w:rsidR="008423E4" w:rsidRPr="00E21FDC" w:rsidRDefault="00B94685" w:rsidP="004D48AB">
            <w:pPr>
              <w:rPr>
                <w:b/>
              </w:rPr>
            </w:pPr>
          </w:p>
        </w:tc>
      </w:tr>
      <w:tr w:rsidR="00093C21" w:rsidTr="00A13AFB">
        <w:tc>
          <w:tcPr>
            <w:tcW w:w="9582" w:type="dxa"/>
          </w:tcPr>
          <w:p w:rsidR="008423E4" w:rsidRPr="00A8133F" w:rsidRDefault="00B94685" w:rsidP="004D48A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94685" w:rsidP="004D48AB"/>
          <w:p w:rsidR="008423E4" w:rsidRDefault="00B94685" w:rsidP="004D48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1533 amends the Human Resources Code to prohibit the </w:t>
            </w:r>
            <w:r w:rsidRPr="00EB556D">
              <w:t>Health and Human Services Commission</w:t>
            </w:r>
            <w:r>
              <w:t xml:space="preserve">, </w:t>
            </w:r>
            <w:r>
              <w:t xml:space="preserve">in </w:t>
            </w:r>
            <w:r>
              <w:t xml:space="preserve">determining </w:t>
            </w:r>
            <w:r>
              <w:t xml:space="preserve">the </w:t>
            </w:r>
            <w:r>
              <w:t xml:space="preserve">eligibility of an applicant </w:t>
            </w:r>
            <w:r>
              <w:t xml:space="preserve">for </w:t>
            </w:r>
            <w:r w:rsidRPr="00EB556D">
              <w:t>or recertifying the eligibility</w:t>
            </w:r>
            <w:r>
              <w:t xml:space="preserve"> </w:t>
            </w:r>
            <w:r w:rsidRPr="00EB556D">
              <w:t xml:space="preserve">of a recipient of supplemental nutrition assistance benefits, </w:t>
            </w:r>
            <w:r>
              <w:t>from</w:t>
            </w:r>
            <w:r>
              <w:t xml:space="preserve"> consider</w:t>
            </w:r>
            <w:r>
              <w:t>ing</w:t>
            </w:r>
            <w:r>
              <w:t xml:space="preserve"> as resources</w:t>
            </w:r>
            <w:r>
              <w:t xml:space="preserve"> the value of a </w:t>
            </w:r>
            <w:r w:rsidRPr="00EB556D">
              <w:t>motor vehicle in which the applicant or recipient or a member of the applicant's or recipient's household has an ownership interest</w:t>
            </w:r>
            <w:r>
              <w:t xml:space="preserve"> up to $25,000 for</w:t>
            </w:r>
            <w:r>
              <w:t xml:space="preserve"> the first motor vehicle and $25,000 for one additional vehicle</w:t>
            </w:r>
            <w:r w:rsidRPr="00EB556D">
              <w:t>.</w:t>
            </w:r>
          </w:p>
          <w:p w:rsidR="00160F44" w:rsidRPr="00835628" w:rsidRDefault="00B94685" w:rsidP="004D48A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093C21" w:rsidTr="00A13AFB">
        <w:tc>
          <w:tcPr>
            <w:tcW w:w="9582" w:type="dxa"/>
          </w:tcPr>
          <w:p w:rsidR="008423E4" w:rsidRPr="00A8133F" w:rsidRDefault="00B94685" w:rsidP="004D48A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94685" w:rsidP="004D48AB"/>
          <w:p w:rsidR="00C97C0B" w:rsidRDefault="00B94685" w:rsidP="004D48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2C02C2" w:rsidRPr="00233FDB" w:rsidRDefault="00B94685" w:rsidP="004D48A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 w:rsidRPr="00233FDB">
              <w:rPr>
                <w:b/>
              </w:rPr>
              <w:t xml:space="preserve"> </w:t>
            </w:r>
          </w:p>
        </w:tc>
      </w:tr>
      <w:tr w:rsidR="00093C21" w:rsidTr="00A13AFB">
        <w:tc>
          <w:tcPr>
            <w:tcW w:w="9582" w:type="dxa"/>
          </w:tcPr>
          <w:p w:rsidR="00E85A0F" w:rsidRDefault="00B94685" w:rsidP="00E85A0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5F6EE5" w:rsidRDefault="00B94685" w:rsidP="00E85A0F">
            <w:pPr>
              <w:jc w:val="both"/>
            </w:pPr>
          </w:p>
          <w:p w:rsidR="005F6EE5" w:rsidRDefault="00B94685" w:rsidP="00E85A0F">
            <w:pPr>
              <w:jc w:val="both"/>
            </w:pPr>
            <w:r>
              <w:t>While C.S.H.B. 1533 may differ from the original in minor or nonsubstantive ways, the following comparison is o</w:t>
            </w:r>
            <w:r>
              <w:t>rganized and formatted in a manner that indicates the substantial differences between the introduced and committee substitute versions of the bill.</w:t>
            </w:r>
          </w:p>
          <w:p w:rsidR="005F6EE5" w:rsidRPr="005F6EE5" w:rsidRDefault="00B94685" w:rsidP="00E85A0F">
            <w:pPr>
              <w:jc w:val="both"/>
            </w:pPr>
          </w:p>
        </w:tc>
      </w:tr>
      <w:tr w:rsidR="00093C21" w:rsidTr="00A13AFB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093C21" w:rsidTr="00A13AFB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A13AFB" w:rsidRDefault="00B94685" w:rsidP="004D48AB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A13AFB" w:rsidRDefault="00B94685" w:rsidP="004D48AB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093C21" w:rsidTr="00A13AFB">
              <w:tc>
                <w:tcPr>
                  <w:tcW w:w="4673" w:type="dxa"/>
                  <w:tcMar>
                    <w:righ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t>SECTION 1.  Subchapter A, Chapter 33, Human Resources Code, is amended by adding Section 33.021 to read as follows:</w:t>
                  </w:r>
                </w:p>
                <w:p w:rsidR="00A13AFB" w:rsidRDefault="00B94685" w:rsidP="004D48AB">
                  <w:pPr>
                    <w:jc w:val="both"/>
                  </w:pPr>
                  <w:r>
                    <w:rPr>
                      <w:u w:val="single"/>
                    </w:rPr>
                    <w:t xml:space="preserve">Sec. 33.021.  EXCLUSION OF CERTAIN </w:t>
                  </w:r>
                  <w:r>
                    <w:rPr>
                      <w:u w:val="single"/>
                    </w:rPr>
                    <w:lastRenderedPageBreak/>
                    <w:t>RESOURCES IN DETERMINING SNAP ELIGIBILITY. In determining the eligibility of an applicant for or recertif</w:t>
                  </w:r>
                  <w:r>
                    <w:rPr>
                      <w:u w:val="single"/>
                    </w:rPr>
                    <w:t>ying the eligibility of a recipient of supplemental nutrition assistance benefits, the commission may not consider as resources:</w:t>
                  </w:r>
                </w:p>
                <w:p w:rsidR="00A13AFB" w:rsidRDefault="00B94685" w:rsidP="004D48AB">
                  <w:pPr>
                    <w:jc w:val="both"/>
                  </w:pPr>
                  <w:r w:rsidRPr="00BA4846">
                    <w:rPr>
                      <w:highlight w:val="lightGray"/>
                      <w:u w:val="single"/>
                    </w:rPr>
                    <w:t xml:space="preserve">(1)  any liquid resources of the applicant or recipient or a member of the applicant's or recipient's household, including the </w:t>
                  </w:r>
                  <w:r w:rsidRPr="00BA4846">
                    <w:rPr>
                      <w:highlight w:val="lightGray"/>
                      <w:u w:val="single"/>
                    </w:rPr>
                    <w:t>total amount of assets held in a school-based account or bond described by Section 28.0024(b)(2), Education Code, that are considered liquid resources, notwithstanding Section 33.0291(b); or</w:t>
                  </w:r>
                </w:p>
                <w:p w:rsidR="00A13AFB" w:rsidRDefault="00B94685" w:rsidP="004D48AB">
                  <w:pPr>
                    <w:jc w:val="both"/>
                  </w:pPr>
                  <w:r w:rsidRPr="000724BC">
                    <w:rPr>
                      <w:highlight w:val="lightGray"/>
                      <w:u w:val="single"/>
                    </w:rPr>
                    <w:t>(2)  any</w:t>
                  </w:r>
                  <w:r>
                    <w:rPr>
                      <w:u w:val="single"/>
                    </w:rPr>
                    <w:t xml:space="preserve"> motor vehicle in which the applicant or recipient or a member of the applicant's or recipient's household has an ownership interest.</w:t>
                  </w:r>
                </w:p>
                <w:p w:rsidR="00A13AFB" w:rsidRDefault="00B94685" w:rsidP="004D48AB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lastRenderedPageBreak/>
                    <w:t>SECTION 1.  Subchapter A, Chapter 33, Human Resources Code, is amended by adding Section 33.021 to read as follows:</w:t>
                  </w: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Sec. </w:t>
                  </w:r>
                  <w:r>
                    <w:rPr>
                      <w:u w:val="single"/>
                    </w:rPr>
                    <w:t xml:space="preserve">33.021.  EXCLUSION OF CERTAIN </w:t>
                  </w:r>
                  <w:r>
                    <w:rPr>
                      <w:u w:val="single"/>
                    </w:rPr>
                    <w:lastRenderedPageBreak/>
                    <w:t>RESOURCES IN DETERMINING SNAP ELIGIBILITY. In determining the eligibility of an applicant for or recertifying the eligibility of a recipient of supplemental nutrition assistance benefits, the commission may not consider as res</w:t>
                  </w:r>
                  <w:r>
                    <w:rPr>
                      <w:u w:val="single"/>
                    </w:rPr>
                    <w:t>ources</w:t>
                  </w: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BA4846" w:rsidRDefault="00B94685" w:rsidP="004D48AB">
                  <w:pPr>
                    <w:jc w:val="both"/>
                    <w:rPr>
                      <w:u w:val="single"/>
                    </w:rPr>
                  </w:pPr>
                </w:p>
                <w:p w:rsidR="00A13AFB" w:rsidRPr="00BA4846" w:rsidRDefault="00B94685" w:rsidP="004D48AB">
                  <w:pPr>
                    <w:jc w:val="both"/>
                    <w:rPr>
                      <w:highlight w:val="lightGray"/>
                    </w:rPr>
                  </w:pPr>
                  <w:r w:rsidRPr="00BA4846">
                    <w:rPr>
                      <w:highlight w:val="lightGray"/>
                      <w:u w:val="single"/>
                    </w:rPr>
                    <w:t xml:space="preserve">the value of a </w:t>
                  </w:r>
                  <w:r w:rsidRPr="00BA4846">
                    <w:rPr>
                      <w:u w:val="single"/>
                    </w:rPr>
                    <w:t xml:space="preserve">motor vehicle in which the applicant or recipient or a member of the applicant's or recipient's household has an ownership interest </w:t>
                  </w:r>
                  <w:r w:rsidRPr="00BA4846">
                    <w:rPr>
                      <w:highlight w:val="lightGray"/>
                      <w:u w:val="single"/>
                    </w:rPr>
                    <w:t>up to:</w:t>
                  </w:r>
                </w:p>
                <w:p w:rsidR="00A13AFB" w:rsidRPr="00BA4846" w:rsidRDefault="00B94685" w:rsidP="004D48AB">
                  <w:pPr>
                    <w:jc w:val="both"/>
                    <w:rPr>
                      <w:highlight w:val="lightGray"/>
                    </w:rPr>
                  </w:pPr>
                  <w:r w:rsidRPr="00BA4846">
                    <w:rPr>
                      <w:highlight w:val="lightGray"/>
                      <w:u w:val="single"/>
                    </w:rPr>
                    <w:t>(1)  $25,000 for the first motor vehicle; and</w:t>
                  </w:r>
                </w:p>
                <w:p w:rsidR="00A13AFB" w:rsidRDefault="00B94685" w:rsidP="004D48AB">
                  <w:pPr>
                    <w:jc w:val="both"/>
                  </w:pPr>
                  <w:r w:rsidRPr="00BA4846">
                    <w:rPr>
                      <w:highlight w:val="lightGray"/>
                      <w:u w:val="single"/>
                    </w:rPr>
                    <w:t>(2)  $25,000 for one additional vehicle.</w:t>
                  </w:r>
                </w:p>
              </w:tc>
            </w:tr>
            <w:tr w:rsidR="00093C21" w:rsidTr="00A13AFB">
              <w:tc>
                <w:tcPr>
                  <w:tcW w:w="4673" w:type="dxa"/>
                  <w:tcMar>
                    <w:righ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lastRenderedPageBreak/>
                    <w:t>SECTION 2.  The change in law made by this Act applies to an initial determination or recertification of eligibility of a person for the supplemental nutrition assistance program under Chapter 33, Human Resources Code, that is made on or after the effecti</w:t>
                  </w:r>
                  <w:r>
                    <w:t>ve date of this Act.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t xml:space="preserve">SECTION 2. </w:t>
                  </w:r>
                  <w:r w:rsidRPr="000724BC">
                    <w:t>Same as introduced version.</w:t>
                  </w:r>
                </w:p>
                <w:p w:rsidR="00A13AFB" w:rsidRDefault="00B94685" w:rsidP="004D48AB">
                  <w:pPr>
                    <w:jc w:val="both"/>
                  </w:pPr>
                </w:p>
                <w:p w:rsidR="00A13AFB" w:rsidRDefault="00B94685" w:rsidP="004D48AB">
                  <w:pPr>
                    <w:jc w:val="both"/>
                  </w:pPr>
                </w:p>
              </w:tc>
            </w:tr>
            <w:tr w:rsidR="00093C21" w:rsidTr="00A13AFB">
              <w:tc>
                <w:tcPr>
                  <w:tcW w:w="4673" w:type="dxa"/>
                  <w:tcMar>
                    <w:righ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t>SECTION 3.  If before implementing any provision of this Act a state agency determines that a waiver or authorization from a federal agency is necessary for implementation of that provision, th</w:t>
                  </w:r>
                  <w:r>
                    <w:t>e agency affected by the provision shall request the waiver or authorization and may delay implementing that provision until the waiver or authorization is granted.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t xml:space="preserve">SECTION 3. </w:t>
                  </w:r>
                  <w:r w:rsidRPr="000724BC">
                    <w:t>Same as introduced version.</w:t>
                  </w:r>
                </w:p>
                <w:p w:rsidR="00A13AFB" w:rsidRDefault="00B94685" w:rsidP="004D48AB">
                  <w:pPr>
                    <w:jc w:val="both"/>
                  </w:pPr>
                </w:p>
                <w:p w:rsidR="00A13AFB" w:rsidRDefault="00B94685" w:rsidP="004D48AB">
                  <w:pPr>
                    <w:jc w:val="both"/>
                  </w:pPr>
                </w:p>
              </w:tc>
            </w:tr>
            <w:tr w:rsidR="00093C21" w:rsidTr="00A13AFB">
              <w:tc>
                <w:tcPr>
                  <w:tcW w:w="4673" w:type="dxa"/>
                  <w:tcMar>
                    <w:righ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t>SECTION 4.  This Act takes effect September 1, 20</w:t>
                  </w:r>
                  <w:r>
                    <w:t>17.</w:t>
                  </w:r>
                </w:p>
                <w:p w:rsidR="00A13AFB" w:rsidRDefault="00B94685" w:rsidP="004D48AB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A13AFB" w:rsidRDefault="00B94685" w:rsidP="004D48AB">
                  <w:pPr>
                    <w:jc w:val="both"/>
                  </w:pPr>
                  <w:r>
                    <w:t xml:space="preserve">SECTION 4. </w:t>
                  </w:r>
                  <w:r w:rsidRPr="000724BC">
                    <w:t>Same as introduced version.</w:t>
                  </w:r>
                </w:p>
                <w:p w:rsidR="00A13AFB" w:rsidRDefault="00B94685" w:rsidP="004D48AB">
                  <w:pPr>
                    <w:jc w:val="both"/>
                  </w:pPr>
                </w:p>
                <w:p w:rsidR="00A13AFB" w:rsidRDefault="00B94685" w:rsidP="004D48AB">
                  <w:pPr>
                    <w:jc w:val="both"/>
                  </w:pPr>
                </w:p>
              </w:tc>
            </w:tr>
          </w:tbl>
          <w:p w:rsidR="00A13AFB" w:rsidRDefault="00B94685" w:rsidP="004D48AB"/>
          <w:p w:rsidR="00A13AFB" w:rsidRPr="009C1E9A" w:rsidRDefault="00B94685" w:rsidP="004D48AB">
            <w:pPr>
              <w:rPr>
                <w:b/>
                <w:u w:val="single"/>
              </w:rPr>
            </w:pPr>
          </w:p>
        </w:tc>
      </w:tr>
      <w:tr w:rsidR="00093C21" w:rsidTr="00A13AFB">
        <w:tc>
          <w:tcPr>
            <w:tcW w:w="9582" w:type="dxa"/>
          </w:tcPr>
          <w:p w:rsidR="00E85A0F" w:rsidRPr="00E85A0F" w:rsidRDefault="00B94685" w:rsidP="00E85A0F">
            <w:pPr>
              <w:spacing w:line="480" w:lineRule="auto"/>
              <w:jc w:val="both"/>
            </w:pPr>
          </w:p>
        </w:tc>
      </w:tr>
      <w:tr w:rsidR="00093C21" w:rsidTr="00A13AFB">
        <w:tc>
          <w:tcPr>
            <w:tcW w:w="9582" w:type="dxa"/>
          </w:tcPr>
          <w:p w:rsidR="00E85A0F" w:rsidRDefault="00B94685" w:rsidP="004D48AB">
            <w:pPr>
              <w:jc w:val="center"/>
            </w:pPr>
          </w:p>
        </w:tc>
      </w:tr>
      <w:tr w:rsidR="00093C21" w:rsidTr="00A13AFB">
        <w:tc>
          <w:tcPr>
            <w:tcW w:w="9582" w:type="dxa"/>
          </w:tcPr>
          <w:p w:rsidR="00E85A0F" w:rsidRDefault="00B94685" w:rsidP="004D48AB">
            <w:pPr>
              <w:jc w:val="center"/>
            </w:pPr>
          </w:p>
        </w:tc>
      </w:tr>
    </w:tbl>
    <w:p w:rsidR="004108C3" w:rsidRPr="008423E4" w:rsidRDefault="00B94685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4685">
      <w:r>
        <w:separator/>
      </w:r>
    </w:p>
  </w:endnote>
  <w:endnote w:type="continuationSeparator" w:id="0">
    <w:p w:rsidR="00000000" w:rsidRDefault="00B9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E5" w:rsidRDefault="00B94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93C21" w:rsidTr="009C1E9A">
      <w:trPr>
        <w:cantSplit/>
      </w:trPr>
      <w:tc>
        <w:tcPr>
          <w:tcW w:w="0" w:type="pct"/>
        </w:tcPr>
        <w:p w:rsidR="00137D90" w:rsidRDefault="00B9468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9468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9468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9468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9468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93C21" w:rsidTr="009C1E9A">
      <w:trPr>
        <w:cantSplit/>
      </w:trPr>
      <w:tc>
        <w:tcPr>
          <w:tcW w:w="0" w:type="pct"/>
        </w:tcPr>
        <w:p w:rsidR="00EC379B" w:rsidRDefault="00B9468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9468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27286</w:t>
          </w:r>
        </w:p>
      </w:tc>
      <w:tc>
        <w:tcPr>
          <w:tcW w:w="2453" w:type="pct"/>
        </w:tcPr>
        <w:p w:rsidR="00EC379B" w:rsidRDefault="00B9468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17.118.558</w:t>
          </w:r>
          <w:r>
            <w:fldChar w:fldCharType="end"/>
          </w:r>
        </w:p>
      </w:tc>
    </w:tr>
    <w:tr w:rsidR="00093C21" w:rsidTr="009C1E9A">
      <w:trPr>
        <w:cantSplit/>
      </w:trPr>
      <w:tc>
        <w:tcPr>
          <w:tcW w:w="0" w:type="pct"/>
        </w:tcPr>
        <w:p w:rsidR="00EC379B" w:rsidRDefault="00B9468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9468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23590</w:t>
          </w:r>
        </w:p>
      </w:tc>
      <w:tc>
        <w:tcPr>
          <w:tcW w:w="2453" w:type="pct"/>
        </w:tcPr>
        <w:p w:rsidR="00EC379B" w:rsidRDefault="00B94685" w:rsidP="006D504F">
          <w:pPr>
            <w:pStyle w:val="Footer"/>
            <w:rPr>
              <w:rStyle w:val="PageNumber"/>
            </w:rPr>
          </w:pPr>
        </w:p>
        <w:p w:rsidR="00EC379B" w:rsidRDefault="00B9468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93C2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9468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9468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9468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E5" w:rsidRDefault="00B94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4685">
      <w:r>
        <w:separator/>
      </w:r>
    </w:p>
  </w:footnote>
  <w:footnote w:type="continuationSeparator" w:id="0">
    <w:p w:rsidR="00000000" w:rsidRDefault="00B9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E5" w:rsidRDefault="00B94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E5" w:rsidRDefault="00B94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E5" w:rsidRDefault="00B94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21"/>
    <w:rsid w:val="00093C21"/>
    <w:rsid w:val="00B9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409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928"/>
  </w:style>
  <w:style w:type="paragraph" w:styleId="CommentSubject">
    <w:name w:val="annotation subject"/>
    <w:basedOn w:val="CommentText"/>
    <w:next w:val="CommentText"/>
    <w:link w:val="CommentSubjectChar"/>
    <w:rsid w:val="00540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0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409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928"/>
  </w:style>
  <w:style w:type="paragraph" w:styleId="CommentSubject">
    <w:name w:val="annotation subject"/>
    <w:basedOn w:val="CommentText"/>
    <w:next w:val="CommentText"/>
    <w:link w:val="CommentSubjectChar"/>
    <w:rsid w:val="00540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0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3559</Characters>
  <Application>Microsoft Office Word</Application>
  <DocSecurity>4</DocSecurity>
  <Lines>131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HB01533 (Committee Report (Substituted))</vt:lpstr>
    </vt:vector>
  </TitlesOfParts>
  <Company>State of Texas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27286</dc:subject>
  <dc:creator>State of Texas</dc:creator>
  <dc:description>HB 1533 by Farrar-(H)Human Services (Substitute Document Number: 85R 23590)</dc:description>
  <cp:lastModifiedBy>Brianna Weis</cp:lastModifiedBy>
  <cp:revision>2</cp:revision>
  <cp:lastPrinted>2017-04-25T23:03:00Z</cp:lastPrinted>
  <dcterms:created xsi:type="dcterms:W3CDTF">2017-04-28T23:20:00Z</dcterms:created>
  <dcterms:modified xsi:type="dcterms:W3CDTF">2017-04-28T23:20:00Z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17.118.558</vt:lpwstr>
  </property>
</Properties>
</file>