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7A7A60" w:rsidTr="00345119">
        <w:tc>
          <w:tcPr>
            <w:tcW w:w="9576" w:type="dxa"/>
            <w:noWrap/>
          </w:tcPr>
          <w:p w:rsidR="008423E4" w:rsidRPr="0022177D" w:rsidRDefault="002B1ABA" w:rsidP="00345119">
            <w:pPr>
              <w:pStyle w:val="Heading1"/>
            </w:pPr>
            <w:bookmarkStart w:id="0" w:name="_GoBack"/>
            <w:bookmarkEnd w:id="0"/>
            <w:r w:rsidRPr="00631897">
              <w:t>BILL ANALYSIS</w:t>
            </w:r>
          </w:p>
        </w:tc>
      </w:tr>
    </w:tbl>
    <w:p w:rsidR="008423E4" w:rsidRPr="0022177D" w:rsidRDefault="002B1ABA" w:rsidP="008423E4">
      <w:pPr>
        <w:jc w:val="center"/>
      </w:pPr>
    </w:p>
    <w:p w:rsidR="008423E4" w:rsidRPr="00B31F0E" w:rsidRDefault="002B1ABA" w:rsidP="008423E4"/>
    <w:p w:rsidR="008423E4" w:rsidRPr="00742794" w:rsidRDefault="002B1ABA" w:rsidP="008423E4">
      <w:pPr>
        <w:tabs>
          <w:tab w:val="right" w:pos="9360"/>
        </w:tabs>
      </w:pPr>
    </w:p>
    <w:tbl>
      <w:tblPr>
        <w:tblW w:w="0" w:type="auto"/>
        <w:tblLayout w:type="fixed"/>
        <w:tblLook w:val="01E0" w:firstRow="1" w:lastRow="1" w:firstColumn="1" w:lastColumn="1" w:noHBand="0" w:noVBand="0"/>
      </w:tblPr>
      <w:tblGrid>
        <w:gridCol w:w="9576"/>
      </w:tblGrid>
      <w:tr w:rsidR="007A7A60" w:rsidTr="00345119">
        <w:tc>
          <w:tcPr>
            <w:tcW w:w="9576" w:type="dxa"/>
          </w:tcPr>
          <w:p w:rsidR="008423E4" w:rsidRPr="00861995" w:rsidRDefault="002B1ABA" w:rsidP="00345119">
            <w:pPr>
              <w:jc w:val="right"/>
            </w:pPr>
            <w:r>
              <w:t>C.S.H.B. 183</w:t>
            </w:r>
          </w:p>
        </w:tc>
      </w:tr>
      <w:tr w:rsidR="007A7A60" w:rsidTr="00345119">
        <w:tc>
          <w:tcPr>
            <w:tcW w:w="9576" w:type="dxa"/>
          </w:tcPr>
          <w:p w:rsidR="008423E4" w:rsidRPr="00861995" w:rsidRDefault="002B1ABA" w:rsidP="006D7D66">
            <w:pPr>
              <w:jc w:val="right"/>
            </w:pPr>
            <w:r>
              <w:t xml:space="preserve">By: </w:t>
            </w:r>
            <w:r>
              <w:t>Dutton</w:t>
            </w:r>
          </w:p>
        </w:tc>
      </w:tr>
      <w:tr w:rsidR="007A7A60" w:rsidTr="00345119">
        <w:tc>
          <w:tcPr>
            <w:tcW w:w="9576" w:type="dxa"/>
          </w:tcPr>
          <w:p w:rsidR="008423E4" w:rsidRPr="00861995" w:rsidRDefault="002B1ABA" w:rsidP="00345119">
            <w:pPr>
              <w:jc w:val="right"/>
            </w:pPr>
            <w:r>
              <w:t>Corrections</w:t>
            </w:r>
          </w:p>
        </w:tc>
      </w:tr>
      <w:tr w:rsidR="007A7A60" w:rsidTr="00345119">
        <w:tc>
          <w:tcPr>
            <w:tcW w:w="9576" w:type="dxa"/>
          </w:tcPr>
          <w:p w:rsidR="008423E4" w:rsidRDefault="002B1ABA" w:rsidP="00345119">
            <w:pPr>
              <w:jc w:val="right"/>
            </w:pPr>
            <w:r>
              <w:t>Committee Report (Substituted)</w:t>
            </w:r>
          </w:p>
        </w:tc>
      </w:tr>
    </w:tbl>
    <w:p w:rsidR="008423E4" w:rsidRDefault="002B1ABA" w:rsidP="008423E4">
      <w:pPr>
        <w:tabs>
          <w:tab w:val="right" w:pos="9360"/>
        </w:tabs>
      </w:pPr>
    </w:p>
    <w:p w:rsidR="008423E4" w:rsidRDefault="002B1ABA" w:rsidP="008423E4"/>
    <w:p w:rsidR="008423E4" w:rsidRDefault="002B1ABA" w:rsidP="008423E4"/>
    <w:tbl>
      <w:tblPr>
        <w:tblW w:w="0" w:type="auto"/>
        <w:tblCellMar>
          <w:left w:w="115" w:type="dxa"/>
          <w:right w:w="115" w:type="dxa"/>
        </w:tblCellMar>
        <w:tblLook w:val="01E0" w:firstRow="1" w:lastRow="1" w:firstColumn="1" w:lastColumn="1" w:noHBand="0" w:noVBand="0"/>
      </w:tblPr>
      <w:tblGrid>
        <w:gridCol w:w="9582"/>
      </w:tblGrid>
      <w:tr w:rsidR="007A7A60" w:rsidTr="006D7D66">
        <w:tc>
          <w:tcPr>
            <w:tcW w:w="9582" w:type="dxa"/>
          </w:tcPr>
          <w:p w:rsidR="008423E4" w:rsidRPr="00A8133F" w:rsidRDefault="002B1ABA" w:rsidP="00F11863">
            <w:pPr>
              <w:rPr>
                <w:b/>
              </w:rPr>
            </w:pPr>
            <w:r w:rsidRPr="009C1E9A">
              <w:rPr>
                <w:b/>
                <w:u w:val="single"/>
              </w:rPr>
              <w:t>BACKGROUND AND PURPOSE</w:t>
            </w:r>
            <w:r>
              <w:rPr>
                <w:b/>
              </w:rPr>
              <w:t xml:space="preserve"> </w:t>
            </w:r>
          </w:p>
          <w:p w:rsidR="008423E4" w:rsidRDefault="002B1ABA" w:rsidP="00F11863"/>
          <w:p w:rsidR="008423E4" w:rsidRDefault="002B1ABA" w:rsidP="00F11863">
            <w:pPr>
              <w:pStyle w:val="Header"/>
              <w:tabs>
                <w:tab w:val="clear" w:pos="4320"/>
                <w:tab w:val="clear" w:pos="8640"/>
              </w:tabs>
              <w:jc w:val="both"/>
            </w:pPr>
            <w:r>
              <w:t>Interested parties contend that</w:t>
            </w:r>
            <w:r>
              <w:t xml:space="preserve"> individuals who have successfully completed deferred adjudication </w:t>
            </w:r>
            <w:r>
              <w:t xml:space="preserve">community supervision </w:t>
            </w:r>
            <w:r>
              <w:t xml:space="preserve">are </w:t>
            </w:r>
            <w:r>
              <w:t xml:space="preserve">too </w:t>
            </w:r>
            <w:r>
              <w:t xml:space="preserve">often </w:t>
            </w:r>
            <w:r>
              <w:t>denied professional licenses.</w:t>
            </w:r>
            <w:r>
              <w:t xml:space="preserve"> </w:t>
            </w:r>
            <w:r>
              <w:t>C.S.</w:t>
            </w:r>
            <w:r>
              <w:t xml:space="preserve">H.B. </w:t>
            </w:r>
            <w:r>
              <w:t xml:space="preserve">183 </w:t>
            </w:r>
            <w:r>
              <w:t xml:space="preserve">seeks to address this issue by prohibiting the completion of </w:t>
            </w:r>
            <w:r>
              <w:t xml:space="preserve">a </w:t>
            </w:r>
            <w:r>
              <w:t>deferred adjudication community supervision</w:t>
            </w:r>
            <w:r>
              <w:t xml:space="preserve"> period</w:t>
            </w:r>
            <w:r>
              <w:t xml:space="preserve"> from being </w:t>
            </w:r>
            <w:r>
              <w:t xml:space="preserve">used as the basis for denying an </w:t>
            </w:r>
            <w:r>
              <w:t xml:space="preserve">otherwise qualified </w:t>
            </w:r>
            <w:r>
              <w:t>individual a professional license.</w:t>
            </w:r>
          </w:p>
          <w:p w:rsidR="008423E4" w:rsidRPr="00E26B13" w:rsidRDefault="002B1ABA" w:rsidP="00F11863">
            <w:pPr>
              <w:rPr>
                <w:b/>
              </w:rPr>
            </w:pPr>
          </w:p>
        </w:tc>
      </w:tr>
      <w:tr w:rsidR="007A7A60" w:rsidTr="006D7D66">
        <w:tc>
          <w:tcPr>
            <w:tcW w:w="9582" w:type="dxa"/>
          </w:tcPr>
          <w:p w:rsidR="0017725B" w:rsidRDefault="002B1ABA" w:rsidP="00F11863">
            <w:pPr>
              <w:rPr>
                <w:b/>
                <w:u w:val="single"/>
              </w:rPr>
            </w:pPr>
            <w:r>
              <w:rPr>
                <w:b/>
                <w:u w:val="single"/>
              </w:rPr>
              <w:t>CRIMINAL JUSTICE IMPACT</w:t>
            </w:r>
          </w:p>
          <w:p w:rsidR="0017725B" w:rsidRDefault="002B1ABA" w:rsidP="00F11863">
            <w:pPr>
              <w:rPr>
                <w:b/>
                <w:u w:val="single"/>
              </w:rPr>
            </w:pPr>
          </w:p>
          <w:p w:rsidR="008B1D54" w:rsidRPr="008B1D54" w:rsidRDefault="002B1ABA" w:rsidP="00F11863">
            <w:pPr>
              <w:jc w:val="both"/>
            </w:pPr>
            <w:r>
              <w:t>It is the committee's opinion that this bill does not expressly create a criminal offense, increase the punishment for an existing criminal offense or category of offenses, or change the eligibility of a person for community supe</w:t>
            </w:r>
            <w:r>
              <w:t>rvision, parole, or mandatory supervision.</w:t>
            </w:r>
          </w:p>
          <w:p w:rsidR="0017725B" w:rsidRPr="0017725B" w:rsidRDefault="002B1ABA" w:rsidP="00F11863">
            <w:pPr>
              <w:rPr>
                <w:b/>
                <w:u w:val="single"/>
              </w:rPr>
            </w:pPr>
          </w:p>
        </w:tc>
      </w:tr>
      <w:tr w:rsidR="007A7A60" w:rsidTr="006D7D66">
        <w:tc>
          <w:tcPr>
            <w:tcW w:w="9582" w:type="dxa"/>
          </w:tcPr>
          <w:p w:rsidR="008423E4" w:rsidRPr="00A8133F" w:rsidRDefault="002B1ABA" w:rsidP="00F11863">
            <w:pPr>
              <w:rPr>
                <w:b/>
              </w:rPr>
            </w:pPr>
            <w:r w:rsidRPr="009C1E9A">
              <w:rPr>
                <w:b/>
                <w:u w:val="single"/>
              </w:rPr>
              <w:t>RULEMAKING AUTHORITY</w:t>
            </w:r>
            <w:r>
              <w:rPr>
                <w:b/>
              </w:rPr>
              <w:t xml:space="preserve"> </w:t>
            </w:r>
          </w:p>
          <w:p w:rsidR="008423E4" w:rsidRDefault="002B1ABA" w:rsidP="00F11863"/>
          <w:p w:rsidR="006473C6" w:rsidRDefault="002B1ABA" w:rsidP="00F11863">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2B1ABA" w:rsidP="00F11863">
            <w:pPr>
              <w:rPr>
                <w:b/>
              </w:rPr>
            </w:pPr>
          </w:p>
        </w:tc>
      </w:tr>
      <w:tr w:rsidR="007A7A60" w:rsidTr="006D7D66">
        <w:tc>
          <w:tcPr>
            <w:tcW w:w="9582" w:type="dxa"/>
          </w:tcPr>
          <w:p w:rsidR="008423E4" w:rsidRPr="00A8133F" w:rsidRDefault="002B1ABA" w:rsidP="00F11863">
            <w:pPr>
              <w:rPr>
                <w:b/>
              </w:rPr>
            </w:pPr>
            <w:r w:rsidRPr="009C1E9A">
              <w:rPr>
                <w:b/>
                <w:u w:val="single"/>
              </w:rPr>
              <w:t>ANALYSIS</w:t>
            </w:r>
            <w:r>
              <w:rPr>
                <w:b/>
              </w:rPr>
              <w:t xml:space="preserve"> </w:t>
            </w:r>
          </w:p>
          <w:p w:rsidR="008423E4" w:rsidRDefault="002B1ABA" w:rsidP="00F11863"/>
          <w:p w:rsidR="008423E4" w:rsidRDefault="002B1ABA" w:rsidP="00F11863">
            <w:pPr>
              <w:pStyle w:val="Header"/>
              <w:tabs>
                <w:tab w:val="clear" w:pos="4320"/>
                <w:tab w:val="clear" w:pos="8640"/>
              </w:tabs>
              <w:jc w:val="both"/>
            </w:pPr>
            <w:r>
              <w:t>C.S.</w:t>
            </w:r>
            <w:r>
              <w:t xml:space="preserve">H.B. 183 amends the Code of Criminal Procedure </w:t>
            </w:r>
            <w:r>
              <w:t xml:space="preserve">to prohibit </w:t>
            </w:r>
            <w:r>
              <w:t xml:space="preserve">the </w:t>
            </w:r>
            <w:r w:rsidRPr="008C3ED9">
              <w:t xml:space="preserve">dismissal and discharge </w:t>
            </w:r>
            <w:r>
              <w:t>of an individual on or before the</w:t>
            </w:r>
            <w:r>
              <w:t xml:space="preserve"> expiration </w:t>
            </w:r>
            <w:r>
              <w:t>of the individual's</w:t>
            </w:r>
            <w:r>
              <w:t xml:space="preserve"> </w:t>
            </w:r>
            <w:r>
              <w:t>deferred adjudication community supervision</w:t>
            </w:r>
            <w:r w:rsidRPr="008C3ED9">
              <w:t xml:space="preserve"> </w:t>
            </w:r>
            <w:r>
              <w:t xml:space="preserve">period </w:t>
            </w:r>
            <w:r>
              <w:t>from being</w:t>
            </w:r>
            <w:r w:rsidRPr="008C3ED9">
              <w:t xml:space="preserve"> used as grounds for denying a professional</w:t>
            </w:r>
            <w:r w:rsidRPr="008C3ED9">
              <w:t xml:space="preserve"> license to </w:t>
            </w:r>
            <w:r>
              <w:t>the</w:t>
            </w:r>
            <w:r w:rsidRPr="008C3ED9">
              <w:t xml:space="preserve"> </w:t>
            </w:r>
            <w:r w:rsidRPr="008C3ED9">
              <w:t xml:space="preserve">individual </w:t>
            </w:r>
            <w:r>
              <w:t>if the individual</w:t>
            </w:r>
            <w:r w:rsidRPr="008C3ED9">
              <w:t xml:space="preserve"> </w:t>
            </w:r>
            <w:r w:rsidRPr="008C3ED9">
              <w:t>is otherwise entitled to or qualified for the license.</w:t>
            </w:r>
            <w:r>
              <w:t xml:space="preserve"> The bill restricts the use of such a dismissal and discharge </w:t>
            </w:r>
            <w:r w:rsidRPr="00356AF5">
              <w:t xml:space="preserve">to determining punishment for certain repeat and habitual felony offenders </w:t>
            </w:r>
            <w:r>
              <w:t>and</w:t>
            </w:r>
            <w:r w:rsidRPr="00356AF5">
              <w:t xml:space="preserve"> to a </w:t>
            </w:r>
            <w:r>
              <w:t>purpose aut</w:t>
            </w:r>
            <w:r>
              <w:t>horized</w:t>
            </w:r>
            <w:r w:rsidRPr="00356AF5">
              <w:t xml:space="preserve"> under statutory provisions relating to deferred adjudication community supervision</w:t>
            </w:r>
            <w:r>
              <w:t>.</w:t>
            </w:r>
            <w:r>
              <w:t xml:space="preserve"> </w:t>
            </w:r>
          </w:p>
          <w:p w:rsidR="00356AF5" w:rsidRDefault="002B1ABA" w:rsidP="00F11863">
            <w:pPr>
              <w:pStyle w:val="Header"/>
              <w:tabs>
                <w:tab w:val="clear" w:pos="4320"/>
                <w:tab w:val="clear" w:pos="8640"/>
              </w:tabs>
              <w:jc w:val="both"/>
            </w:pPr>
          </w:p>
          <w:p w:rsidR="008423E4" w:rsidRDefault="002B1ABA" w:rsidP="00F11863">
            <w:pPr>
              <w:pStyle w:val="Header"/>
              <w:tabs>
                <w:tab w:val="clear" w:pos="4320"/>
                <w:tab w:val="clear" w:pos="8640"/>
              </w:tabs>
              <w:jc w:val="both"/>
            </w:pPr>
            <w:r>
              <w:t>C.S.</w:t>
            </w:r>
            <w:r>
              <w:t xml:space="preserve">H.B. 183 </w:t>
            </w:r>
            <w:r w:rsidRPr="00356AF5">
              <w:t xml:space="preserve">removes the </w:t>
            </w:r>
            <w:r>
              <w:t>authorization for</w:t>
            </w:r>
            <w:r w:rsidRPr="00356AF5">
              <w:t xml:space="preserve"> the Department of Family and Protective Services and the Council on Sex Offender Treatment to consider, in issuing, ren</w:t>
            </w:r>
            <w:r w:rsidRPr="00356AF5">
              <w:t xml:space="preserve">ewing, denying, or revoking </w:t>
            </w:r>
            <w:r>
              <w:t>certain</w:t>
            </w:r>
            <w:r w:rsidRPr="00356AF5">
              <w:t xml:space="preserve"> license</w:t>
            </w:r>
            <w:r>
              <w:t>s</w:t>
            </w:r>
            <w:r w:rsidRPr="00356AF5">
              <w:t xml:space="preserve"> within those agencies' respective</w:t>
            </w:r>
            <w:r>
              <w:t xml:space="preserve"> regulatory</w:t>
            </w:r>
            <w:r w:rsidRPr="00356AF5">
              <w:t xml:space="preserve"> jurisdictions</w:t>
            </w:r>
            <w:r>
              <w:t xml:space="preserve"> of a licensee or license applicant who receives such a dismissal and discharge</w:t>
            </w:r>
            <w:r w:rsidRPr="00356AF5">
              <w:t xml:space="preserve">, the fact that </w:t>
            </w:r>
            <w:r>
              <w:t>the</w:t>
            </w:r>
            <w:r w:rsidRPr="00356AF5">
              <w:t xml:space="preserve"> licensee </w:t>
            </w:r>
            <w:r>
              <w:t xml:space="preserve">or </w:t>
            </w:r>
            <w:r>
              <w:t xml:space="preserve">applicant </w:t>
            </w:r>
            <w:r w:rsidRPr="00356AF5">
              <w:t>has</w:t>
            </w:r>
            <w:r w:rsidRPr="00356AF5">
              <w:t xml:space="preserve"> previously received </w:t>
            </w:r>
            <w:r>
              <w:t>deferred</w:t>
            </w:r>
            <w:r>
              <w:t xml:space="preserve"> adjudication </w:t>
            </w:r>
            <w:r w:rsidRPr="00356AF5">
              <w:t>community supervision.</w:t>
            </w:r>
          </w:p>
          <w:p w:rsidR="00F11863" w:rsidRPr="00F11863" w:rsidRDefault="002B1ABA" w:rsidP="00F11863">
            <w:pPr>
              <w:pStyle w:val="Header"/>
              <w:tabs>
                <w:tab w:val="clear" w:pos="4320"/>
                <w:tab w:val="clear" w:pos="8640"/>
              </w:tabs>
              <w:jc w:val="both"/>
            </w:pPr>
          </w:p>
        </w:tc>
      </w:tr>
      <w:tr w:rsidR="007A7A60" w:rsidTr="006D7D66">
        <w:tc>
          <w:tcPr>
            <w:tcW w:w="9582" w:type="dxa"/>
          </w:tcPr>
          <w:p w:rsidR="008423E4" w:rsidRPr="00A8133F" w:rsidRDefault="002B1ABA" w:rsidP="00F11863">
            <w:pPr>
              <w:rPr>
                <w:b/>
              </w:rPr>
            </w:pPr>
            <w:r w:rsidRPr="009C1E9A">
              <w:rPr>
                <w:b/>
                <w:u w:val="single"/>
              </w:rPr>
              <w:t>EFFECTIVE DATE</w:t>
            </w:r>
            <w:r>
              <w:rPr>
                <w:b/>
              </w:rPr>
              <w:t xml:space="preserve"> </w:t>
            </w:r>
          </w:p>
          <w:p w:rsidR="008423E4" w:rsidRDefault="002B1ABA" w:rsidP="00F11863"/>
          <w:p w:rsidR="008423E4" w:rsidRPr="003624F2" w:rsidRDefault="002B1ABA" w:rsidP="00F11863">
            <w:pPr>
              <w:pStyle w:val="Header"/>
              <w:tabs>
                <w:tab w:val="clear" w:pos="4320"/>
                <w:tab w:val="clear" w:pos="8640"/>
              </w:tabs>
              <w:jc w:val="both"/>
            </w:pPr>
            <w:r>
              <w:t>September 1, 2017.</w:t>
            </w:r>
          </w:p>
          <w:p w:rsidR="008423E4" w:rsidRPr="00233FDB" w:rsidRDefault="002B1ABA" w:rsidP="00F11863">
            <w:pPr>
              <w:rPr>
                <w:b/>
              </w:rPr>
            </w:pPr>
          </w:p>
        </w:tc>
      </w:tr>
      <w:tr w:rsidR="007A7A60" w:rsidTr="006D7D66">
        <w:tc>
          <w:tcPr>
            <w:tcW w:w="9582" w:type="dxa"/>
          </w:tcPr>
          <w:p w:rsidR="006D7D66" w:rsidRDefault="002B1ABA" w:rsidP="00F11863">
            <w:pPr>
              <w:jc w:val="both"/>
              <w:rPr>
                <w:b/>
                <w:u w:val="single"/>
              </w:rPr>
            </w:pPr>
            <w:r>
              <w:rPr>
                <w:b/>
                <w:u w:val="single"/>
              </w:rPr>
              <w:t>COMPARISON OF ORIGINAL AND SUBSTITUTE</w:t>
            </w:r>
          </w:p>
          <w:p w:rsidR="00CE16E2" w:rsidRDefault="002B1ABA" w:rsidP="00F11863">
            <w:pPr>
              <w:jc w:val="both"/>
            </w:pPr>
          </w:p>
          <w:p w:rsidR="00CE16E2" w:rsidRDefault="002B1ABA" w:rsidP="00F11863">
            <w:pPr>
              <w:jc w:val="both"/>
            </w:pPr>
            <w:r>
              <w:t xml:space="preserve">While C.S.H.B. 183 may differ from the original in minor or nonsubstantive ways, the following comparison is organized and formatted in a </w:t>
            </w:r>
            <w:r>
              <w:t>manner that indicates the substantial differences between the introduced and committee substitute versions of the bill.</w:t>
            </w:r>
          </w:p>
          <w:p w:rsidR="00CE16E2" w:rsidRPr="00CE16E2" w:rsidRDefault="002B1ABA" w:rsidP="00F11863">
            <w:pPr>
              <w:jc w:val="both"/>
            </w:pPr>
          </w:p>
        </w:tc>
      </w:tr>
      <w:tr w:rsidR="007A7A60" w:rsidTr="006D7D66">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7A7A60" w:rsidTr="006D7D66">
              <w:trPr>
                <w:cantSplit/>
                <w:tblHeader/>
              </w:trPr>
              <w:tc>
                <w:tcPr>
                  <w:tcW w:w="4673" w:type="dxa"/>
                  <w:tcMar>
                    <w:bottom w:w="188" w:type="dxa"/>
                  </w:tcMar>
                </w:tcPr>
                <w:p w:rsidR="006D7D66" w:rsidRDefault="002B1ABA" w:rsidP="00F11863">
                  <w:pPr>
                    <w:jc w:val="center"/>
                  </w:pPr>
                  <w:r>
                    <w:lastRenderedPageBreak/>
                    <w:t>INTRODUCED</w:t>
                  </w:r>
                </w:p>
              </w:tc>
              <w:tc>
                <w:tcPr>
                  <w:tcW w:w="4673" w:type="dxa"/>
                  <w:tcMar>
                    <w:bottom w:w="188" w:type="dxa"/>
                  </w:tcMar>
                </w:tcPr>
                <w:p w:rsidR="006D7D66" w:rsidRDefault="002B1ABA" w:rsidP="00F11863">
                  <w:pPr>
                    <w:jc w:val="center"/>
                  </w:pPr>
                  <w:r>
                    <w:t>HOUSE COMMITTEE SUBSTITUTE</w:t>
                  </w:r>
                </w:p>
              </w:tc>
            </w:tr>
            <w:tr w:rsidR="007A7A60" w:rsidTr="006D7D66">
              <w:tc>
                <w:tcPr>
                  <w:tcW w:w="4673" w:type="dxa"/>
                  <w:tcMar>
                    <w:right w:w="360" w:type="dxa"/>
                  </w:tcMar>
                </w:tcPr>
                <w:p w:rsidR="006D7D66" w:rsidRDefault="002B1ABA" w:rsidP="00F11863">
                  <w:pPr>
                    <w:jc w:val="both"/>
                  </w:pPr>
                  <w:r>
                    <w:t xml:space="preserve">SECTION 1.  Article 42A.111, Code of Criminal Procedure, is amended by adding Subsection (c-1) </w:t>
                  </w:r>
                  <w:r>
                    <w:t>and amending Subsection (d) to read as follows:</w:t>
                  </w:r>
                </w:p>
                <w:p w:rsidR="006D7D66" w:rsidRDefault="002B1ABA" w:rsidP="00F11863">
                  <w:pPr>
                    <w:jc w:val="both"/>
                  </w:pPr>
                  <w:r>
                    <w:rPr>
                      <w:u w:val="single"/>
                    </w:rPr>
                    <w:t>(c-1)  Notwithstanding any other law, a dismissal and discharge under this article may be used only as described by Section 12.42(g)(1), Penal Code, or as otherwise described by this article.  A dismissal and</w:t>
                  </w:r>
                  <w:r>
                    <w:rPr>
                      <w:u w:val="single"/>
                    </w:rPr>
                    <w:t xml:space="preserve"> discharge under this article may not be used as grounds for denying </w:t>
                  </w:r>
                  <w:r w:rsidRPr="00CE16E2">
                    <w:rPr>
                      <w:highlight w:val="lightGray"/>
                      <w:u w:val="single"/>
                    </w:rPr>
                    <w:t>housing, employment, or</w:t>
                  </w:r>
                  <w:r>
                    <w:rPr>
                      <w:u w:val="single"/>
                    </w:rPr>
                    <w:t xml:space="preserve"> a professional license to an individual who is otherwise entitled to or qualified for </w:t>
                  </w:r>
                  <w:r w:rsidRPr="00470C4F">
                    <w:rPr>
                      <w:u w:val="single"/>
                    </w:rPr>
                    <w:t xml:space="preserve">the </w:t>
                  </w:r>
                  <w:r w:rsidRPr="00CE16E2">
                    <w:rPr>
                      <w:highlight w:val="lightGray"/>
                      <w:u w:val="single"/>
                    </w:rPr>
                    <w:t>housing, employment, or</w:t>
                  </w:r>
                  <w:r>
                    <w:rPr>
                      <w:u w:val="single"/>
                    </w:rPr>
                    <w:t xml:space="preserve"> license.</w:t>
                  </w:r>
                </w:p>
                <w:p w:rsidR="006D7D66" w:rsidRDefault="002B1ABA" w:rsidP="00F11863">
                  <w:pPr>
                    <w:jc w:val="both"/>
                  </w:pPr>
                  <w:r>
                    <w:t>(d)  For any defendant who receives a di</w:t>
                  </w:r>
                  <w:r>
                    <w:t>smissal and discharge under this article</w:t>
                  </w:r>
                  <w:r>
                    <w:rPr>
                      <w:u w:val="single"/>
                    </w:rPr>
                    <w:t>,</w:t>
                  </w:r>
                  <w:r>
                    <w:t xml:space="preserve"> [</w:t>
                  </w:r>
                  <w:r>
                    <w:rPr>
                      <w:strike/>
                    </w:rPr>
                    <w:t>:</w:t>
                  </w:r>
                </w:p>
                <w:p w:rsidR="006D7D66" w:rsidRDefault="002B1ABA" w:rsidP="00F11863">
                  <w:pPr>
                    <w:jc w:val="both"/>
                  </w:pPr>
                  <w:r>
                    <w:t>[</w:t>
                  </w:r>
                  <w:r>
                    <w:rPr>
                      <w:strike/>
                    </w:rPr>
                    <w:t>(1)</w:t>
                  </w:r>
                  <w:r>
                    <w:t>]  on conviction of a subsequent offense, the fact that the defendant previously has received deferred adjudication community supervision is admissible before the court or jury for consideration on the issue</w:t>
                  </w:r>
                  <w:r>
                    <w:t xml:space="preserve"> of penalty[</w:t>
                  </w:r>
                  <w:r>
                    <w:rPr>
                      <w:strike/>
                    </w:rPr>
                    <w:t>;</w:t>
                  </w:r>
                </w:p>
                <w:p w:rsidR="006D7D66" w:rsidRDefault="002B1ABA" w:rsidP="00F11863">
                  <w:pPr>
                    <w:jc w:val="both"/>
                  </w:pPr>
                  <w:r>
                    <w:t>[</w:t>
                  </w:r>
                  <w:r>
                    <w:rPr>
                      <w:strike/>
                    </w:rPr>
                    <w:t>(2)  if the defendant is an applicant for or the holder of a license under Chapter 42, Human Resources Code, the Department of Family and Protective Services may consider the fact that the defendant previously has received deferred adjudicat</w:t>
                  </w:r>
                  <w:r>
                    <w:rPr>
                      <w:strike/>
                    </w:rPr>
                    <w:t>ion community supervision in issuing, renewing, denying, or revoking a license under that chapter; and</w:t>
                  </w:r>
                </w:p>
                <w:p w:rsidR="006D7D66" w:rsidRDefault="002B1ABA" w:rsidP="00F11863">
                  <w:pPr>
                    <w:jc w:val="both"/>
                  </w:pPr>
                  <w:r>
                    <w:t>[</w:t>
                  </w:r>
                  <w:r>
                    <w:rPr>
                      <w:strike/>
                    </w:rPr>
                    <w:t>(3)  if the defendant is an applicant for or the holder of a license to provide mental health or medical services for the rehabilitation of sex offender</w:t>
                  </w:r>
                  <w:r>
                    <w:rPr>
                      <w:strike/>
                    </w:rPr>
                    <w:t>s, the Council on Sex Offender Treatment may consider the fact that the defendant previously has received deferred adjudication community supervision in issuing, renewing, denying, or revoking a license issued by that council</w:t>
                  </w:r>
                  <w:r>
                    <w:t>].</w:t>
                  </w:r>
                </w:p>
                <w:p w:rsidR="006D7D66" w:rsidRDefault="002B1ABA" w:rsidP="00F11863">
                  <w:pPr>
                    <w:jc w:val="both"/>
                  </w:pPr>
                </w:p>
              </w:tc>
              <w:tc>
                <w:tcPr>
                  <w:tcW w:w="4673" w:type="dxa"/>
                  <w:tcMar>
                    <w:left w:w="360" w:type="dxa"/>
                  </w:tcMar>
                </w:tcPr>
                <w:p w:rsidR="006D7D66" w:rsidRDefault="002B1ABA" w:rsidP="00F11863">
                  <w:pPr>
                    <w:jc w:val="both"/>
                  </w:pPr>
                  <w:r>
                    <w:t>SECTION 1.  Article 42A.111</w:t>
                  </w:r>
                  <w:r>
                    <w:t>, Code of Criminal Procedure, is amended by adding Subsection (c-1) and amending Subsection (d) to read as follows:</w:t>
                  </w:r>
                </w:p>
                <w:p w:rsidR="006D7D66" w:rsidRDefault="002B1ABA" w:rsidP="00F11863">
                  <w:pPr>
                    <w:jc w:val="both"/>
                    <w:rPr>
                      <w:u w:val="single"/>
                    </w:rPr>
                  </w:pPr>
                  <w:r>
                    <w:rPr>
                      <w:u w:val="single"/>
                    </w:rPr>
                    <w:t>(c-1)  Notwithstanding any other law, a dismissal and discharge under this article may be used only as described by Section 12.42(g)(1), Pen</w:t>
                  </w:r>
                  <w:r>
                    <w:rPr>
                      <w:u w:val="single"/>
                    </w:rPr>
                    <w:t>al Code, or as otherwise described by this article.  A dismissal and discharge under this article may not be used as grounds for denying a professional license to an individual who is otherwise entitled to or qualified for the license.</w:t>
                  </w:r>
                </w:p>
                <w:p w:rsidR="00CE16E2" w:rsidRDefault="002B1ABA" w:rsidP="00F11863">
                  <w:pPr>
                    <w:jc w:val="both"/>
                    <w:rPr>
                      <w:u w:val="single"/>
                    </w:rPr>
                  </w:pPr>
                </w:p>
                <w:p w:rsidR="00CE16E2" w:rsidRDefault="002B1ABA" w:rsidP="00F11863">
                  <w:pPr>
                    <w:jc w:val="both"/>
                  </w:pPr>
                </w:p>
                <w:p w:rsidR="006D7D66" w:rsidRDefault="002B1ABA" w:rsidP="00F11863">
                  <w:pPr>
                    <w:jc w:val="both"/>
                  </w:pPr>
                  <w:r>
                    <w:t>(d)  For any defen</w:t>
                  </w:r>
                  <w:r>
                    <w:t>dant who receives a dismissal and discharge under this article</w:t>
                  </w:r>
                  <w:r>
                    <w:rPr>
                      <w:u w:val="single"/>
                    </w:rPr>
                    <w:t>,</w:t>
                  </w:r>
                  <w:r>
                    <w:t xml:space="preserve"> [</w:t>
                  </w:r>
                  <w:r>
                    <w:rPr>
                      <w:strike/>
                    </w:rPr>
                    <w:t>:</w:t>
                  </w:r>
                </w:p>
                <w:p w:rsidR="006D7D66" w:rsidRDefault="002B1ABA" w:rsidP="00F11863">
                  <w:pPr>
                    <w:jc w:val="both"/>
                  </w:pPr>
                  <w:r>
                    <w:t>[</w:t>
                  </w:r>
                  <w:r>
                    <w:rPr>
                      <w:strike/>
                    </w:rPr>
                    <w:t>(1)</w:t>
                  </w:r>
                  <w:r>
                    <w:t>]  on conviction of a subsequent offense, the fact that the defendant previously has received deferred adjudication community supervision is admissible before the court or jury for cons</w:t>
                  </w:r>
                  <w:r>
                    <w:t>ideration on the issue of penalty[</w:t>
                  </w:r>
                  <w:r>
                    <w:rPr>
                      <w:strike/>
                    </w:rPr>
                    <w:t>;</w:t>
                  </w:r>
                </w:p>
                <w:p w:rsidR="006D7D66" w:rsidRDefault="002B1ABA" w:rsidP="00F11863">
                  <w:pPr>
                    <w:jc w:val="both"/>
                  </w:pPr>
                  <w:r>
                    <w:t>[</w:t>
                  </w:r>
                  <w:r>
                    <w:rPr>
                      <w:strike/>
                    </w:rPr>
                    <w:t xml:space="preserve">(2)  if the defendant is an applicant for or the holder of a license under Chapter 42, Human Resources Code, the Department of Family and Protective Services may consider the fact that the defendant previously has </w:t>
                  </w:r>
                  <w:r>
                    <w:rPr>
                      <w:strike/>
                    </w:rPr>
                    <w:t>received deferred adjudication community supervision in issuing, renewing, denying, or revoking a license under that chapter; and</w:t>
                  </w:r>
                </w:p>
                <w:p w:rsidR="006D7D66" w:rsidRDefault="002B1ABA" w:rsidP="00F11863">
                  <w:pPr>
                    <w:jc w:val="both"/>
                  </w:pPr>
                  <w:r>
                    <w:t>[</w:t>
                  </w:r>
                  <w:r>
                    <w:rPr>
                      <w:strike/>
                    </w:rPr>
                    <w:t>(3)  if the defendant is an applicant for or the holder of a license to provide mental health or medical services for the reh</w:t>
                  </w:r>
                  <w:r>
                    <w:rPr>
                      <w:strike/>
                    </w:rPr>
                    <w:t>abilitation of sex offenders, the Council on Sex Offender Treatment may consider the fact that the defendant previously has received deferred adjudication community supervision in issuing, renewing, denying, or revoking a license issued by that council</w:t>
                  </w:r>
                  <w:r>
                    <w:t>].</w:t>
                  </w:r>
                </w:p>
                <w:p w:rsidR="006D7D66" w:rsidRDefault="002B1ABA" w:rsidP="00F11863">
                  <w:pPr>
                    <w:jc w:val="both"/>
                  </w:pPr>
                </w:p>
              </w:tc>
            </w:tr>
            <w:tr w:rsidR="007A7A60" w:rsidTr="006D7D66">
              <w:tc>
                <w:tcPr>
                  <w:tcW w:w="4673" w:type="dxa"/>
                  <w:tcMar>
                    <w:right w:w="360" w:type="dxa"/>
                  </w:tcMar>
                </w:tcPr>
                <w:p w:rsidR="006D7D66" w:rsidRDefault="002B1ABA" w:rsidP="00F11863">
                  <w:pPr>
                    <w:jc w:val="both"/>
                  </w:pPr>
                  <w:r>
                    <w:t>SECTION 2.  The change in law made by this Act applies only to a defendant placed on deferred adjudication community supervision for an offense committed on or after the effective date of this Act.  A defendant placed on deferred adjudication community su</w:t>
                  </w:r>
                  <w:r>
                    <w:t>pervision for an offense committed before the effective date of this Act is governed by the law in effect on the date the offense was committed, and the former law is continued in effect for that purpose. For purposes of this section, an offense was commit</w:t>
                  </w:r>
                  <w:r>
                    <w:t>ted before the effective date of this Act if any element of the offense was committed before that date.</w:t>
                  </w:r>
                </w:p>
                <w:p w:rsidR="006D7D66" w:rsidRDefault="002B1ABA" w:rsidP="00F11863">
                  <w:pPr>
                    <w:jc w:val="both"/>
                  </w:pPr>
                </w:p>
              </w:tc>
              <w:tc>
                <w:tcPr>
                  <w:tcW w:w="4673" w:type="dxa"/>
                  <w:tcMar>
                    <w:left w:w="360" w:type="dxa"/>
                  </w:tcMar>
                </w:tcPr>
                <w:p w:rsidR="006D7D66" w:rsidRDefault="002B1ABA" w:rsidP="00F11863">
                  <w:pPr>
                    <w:jc w:val="both"/>
                  </w:pPr>
                  <w:r>
                    <w:t>SECTION 2. Same as introduced version.</w:t>
                  </w:r>
                </w:p>
                <w:p w:rsidR="006D7D66" w:rsidRDefault="002B1ABA" w:rsidP="00F11863">
                  <w:pPr>
                    <w:jc w:val="both"/>
                  </w:pPr>
                </w:p>
                <w:p w:rsidR="006D7D66" w:rsidRDefault="002B1ABA" w:rsidP="00F11863">
                  <w:pPr>
                    <w:jc w:val="both"/>
                  </w:pPr>
                </w:p>
              </w:tc>
            </w:tr>
            <w:tr w:rsidR="007A7A60" w:rsidTr="006D7D66">
              <w:tc>
                <w:tcPr>
                  <w:tcW w:w="4673" w:type="dxa"/>
                  <w:tcMar>
                    <w:right w:w="360" w:type="dxa"/>
                  </w:tcMar>
                </w:tcPr>
                <w:p w:rsidR="006D7D66" w:rsidRDefault="002B1ABA" w:rsidP="00F11863">
                  <w:pPr>
                    <w:jc w:val="both"/>
                  </w:pPr>
                  <w:r>
                    <w:t>SECTION 3.   This Act takes effect September 1, 2017.</w:t>
                  </w:r>
                </w:p>
                <w:p w:rsidR="006D7D66" w:rsidRDefault="002B1ABA" w:rsidP="00F11863">
                  <w:pPr>
                    <w:jc w:val="both"/>
                  </w:pPr>
                </w:p>
              </w:tc>
              <w:tc>
                <w:tcPr>
                  <w:tcW w:w="4673" w:type="dxa"/>
                  <w:tcMar>
                    <w:left w:w="360" w:type="dxa"/>
                  </w:tcMar>
                </w:tcPr>
                <w:p w:rsidR="006D7D66" w:rsidRDefault="002B1ABA" w:rsidP="00F11863">
                  <w:pPr>
                    <w:jc w:val="both"/>
                  </w:pPr>
                  <w:r>
                    <w:t>SECTION 3. Same as introduced version.</w:t>
                  </w:r>
                </w:p>
                <w:p w:rsidR="006D7D66" w:rsidRDefault="002B1ABA" w:rsidP="00F11863">
                  <w:pPr>
                    <w:jc w:val="both"/>
                  </w:pPr>
                </w:p>
                <w:p w:rsidR="006D7D66" w:rsidRDefault="002B1ABA" w:rsidP="00F11863">
                  <w:pPr>
                    <w:jc w:val="both"/>
                  </w:pPr>
                </w:p>
              </w:tc>
            </w:tr>
          </w:tbl>
          <w:p w:rsidR="006D7D66" w:rsidRDefault="002B1ABA" w:rsidP="00F11863"/>
          <w:p w:rsidR="006D7D66" w:rsidRPr="009C1E9A" w:rsidRDefault="002B1ABA" w:rsidP="00F11863">
            <w:pPr>
              <w:rPr>
                <w:b/>
                <w:u w:val="single"/>
              </w:rPr>
            </w:pPr>
          </w:p>
        </w:tc>
      </w:tr>
    </w:tbl>
    <w:p w:rsidR="008423E4" w:rsidRPr="00BE0E75" w:rsidRDefault="002B1ABA" w:rsidP="008423E4">
      <w:pPr>
        <w:spacing w:line="480" w:lineRule="auto"/>
        <w:jc w:val="both"/>
        <w:rPr>
          <w:rFonts w:ascii="Arial" w:hAnsi="Arial"/>
          <w:sz w:val="16"/>
          <w:szCs w:val="16"/>
        </w:rPr>
      </w:pPr>
    </w:p>
    <w:p w:rsidR="004108C3" w:rsidRPr="008423E4" w:rsidRDefault="002B1ABA"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1ABA">
      <w:r>
        <w:separator/>
      </w:r>
    </w:p>
  </w:endnote>
  <w:endnote w:type="continuationSeparator" w:id="0">
    <w:p w:rsidR="00000000" w:rsidRDefault="002B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7A7A60" w:rsidTr="009C1E9A">
      <w:trPr>
        <w:cantSplit/>
      </w:trPr>
      <w:tc>
        <w:tcPr>
          <w:tcW w:w="0" w:type="pct"/>
        </w:tcPr>
        <w:p w:rsidR="00137D90" w:rsidRDefault="002B1ABA" w:rsidP="009C1E9A">
          <w:pPr>
            <w:pStyle w:val="Footer"/>
            <w:tabs>
              <w:tab w:val="clear" w:pos="8640"/>
              <w:tab w:val="right" w:pos="9360"/>
            </w:tabs>
          </w:pPr>
        </w:p>
      </w:tc>
      <w:tc>
        <w:tcPr>
          <w:tcW w:w="2395" w:type="pct"/>
        </w:tcPr>
        <w:p w:rsidR="00137D90" w:rsidRDefault="002B1ABA" w:rsidP="009C1E9A">
          <w:pPr>
            <w:pStyle w:val="Footer"/>
            <w:tabs>
              <w:tab w:val="clear" w:pos="8640"/>
              <w:tab w:val="right" w:pos="9360"/>
            </w:tabs>
          </w:pPr>
        </w:p>
        <w:p w:rsidR="001A4310" w:rsidRDefault="002B1ABA" w:rsidP="009C1E9A">
          <w:pPr>
            <w:pStyle w:val="Footer"/>
            <w:tabs>
              <w:tab w:val="clear" w:pos="8640"/>
              <w:tab w:val="right" w:pos="9360"/>
            </w:tabs>
          </w:pPr>
        </w:p>
        <w:p w:rsidR="00137D90" w:rsidRDefault="002B1ABA" w:rsidP="009C1E9A">
          <w:pPr>
            <w:pStyle w:val="Footer"/>
            <w:tabs>
              <w:tab w:val="clear" w:pos="8640"/>
              <w:tab w:val="right" w:pos="9360"/>
            </w:tabs>
          </w:pPr>
        </w:p>
      </w:tc>
      <w:tc>
        <w:tcPr>
          <w:tcW w:w="2453" w:type="pct"/>
        </w:tcPr>
        <w:p w:rsidR="00137D90" w:rsidRDefault="002B1ABA" w:rsidP="009C1E9A">
          <w:pPr>
            <w:pStyle w:val="Footer"/>
            <w:tabs>
              <w:tab w:val="clear" w:pos="8640"/>
              <w:tab w:val="right" w:pos="9360"/>
            </w:tabs>
            <w:jc w:val="right"/>
          </w:pPr>
        </w:p>
      </w:tc>
    </w:tr>
    <w:tr w:rsidR="007A7A60" w:rsidTr="009C1E9A">
      <w:trPr>
        <w:cantSplit/>
      </w:trPr>
      <w:tc>
        <w:tcPr>
          <w:tcW w:w="0" w:type="pct"/>
        </w:tcPr>
        <w:p w:rsidR="00EC379B" w:rsidRDefault="002B1ABA" w:rsidP="009C1E9A">
          <w:pPr>
            <w:pStyle w:val="Footer"/>
            <w:tabs>
              <w:tab w:val="clear" w:pos="8640"/>
              <w:tab w:val="right" w:pos="9360"/>
            </w:tabs>
          </w:pPr>
        </w:p>
      </w:tc>
      <w:tc>
        <w:tcPr>
          <w:tcW w:w="2395" w:type="pct"/>
        </w:tcPr>
        <w:p w:rsidR="00EC379B" w:rsidRPr="009C1E9A" w:rsidRDefault="002B1ABA" w:rsidP="009C1E9A">
          <w:pPr>
            <w:pStyle w:val="Footer"/>
            <w:tabs>
              <w:tab w:val="clear" w:pos="8640"/>
              <w:tab w:val="right" w:pos="9360"/>
            </w:tabs>
            <w:rPr>
              <w:rFonts w:ascii="Shruti" w:hAnsi="Shruti"/>
              <w:sz w:val="22"/>
            </w:rPr>
          </w:pPr>
          <w:r>
            <w:rPr>
              <w:rFonts w:ascii="Shruti" w:hAnsi="Shruti"/>
              <w:sz w:val="22"/>
            </w:rPr>
            <w:t>85R 19361</w:t>
          </w:r>
        </w:p>
      </w:tc>
      <w:tc>
        <w:tcPr>
          <w:tcW w:w="2453" w:type="pct"/>
        </w:tcPr>
        <w:p w:rsidR="00EC379B" w:rsidRDefault="002B1ABA" w:rsidP="009C1E9A">
          <w:pPr>
            <w:pStyle w:val="Footer"/>
            <w:tabs>
              <w:tab w:val="clear" w:pos="8640"/>
              <w:tab w:val="right" w:pos="9360"/>
            </w:tabs>
            <w:jc w:val="right"/>
          </w:pPr>
          <w:r>
            <w:fldChar w:fldCharType="begin"/>
          </w:r>
          <w:r>
            <w:instrText xml:space="preserve"> DOCPROPERTY  OTID  \* MERGEFORMAT </w:instrText>
          </w:r>
          <w:r>
            <w:fldChar w:fldCharType="separate"/>
          </w:r>
          <w:r>
            <w:t>17.83.492</w:t>
          </w:r>
          <w:r>
            <w:fldChar w:fldCharType="end"/>
          </w:r>
        </w:p>
      </w:tc>
    </w:tr>
    <w:tr w:rsidR="007A7A60" w:rsidTr="009C1E9A">
      <w:trPr>
        <w:cantSplit/>
      </w:trPr>
      <w:tc>
        <w:tcPr>
          <w:tcW w:w="0" w:type="pct"/>
        </w:tcPr>
        <w:p w:rsidR="00EC379B" w:rsidRDefault="002B1ABA" w:rsidP="009C1E9A">
          <w:pPr>
            <w:pStyle w:val="Footer"/>
            <w:tabs>
              <w:tab w:val="clear" w:pos="4320"/>
              <w:tab w:val="clear" w:pos="8640"/>
              <w:tab w:val="left" w:pos="2865"/>
            </w:tabs>
          </w:pPr>
        </w:p>
      </w:tc>
      <w:tc>
        <w:tcPr>
          <w:tcW w:w="2395" w:type="pct"/>
        </w:tcPr>
        <w:p w:rsidR="00EC379B" w:rsidRPr="009C1E9A" w:rsidRDefault="002B1ABA" w:rsidP="009C1E9A">
          <w:pPr>
            <w:pStyle w:val="Footer"/>
            <w:tabs>
              <w:tab w:val="clear" w:pos="4320"/>
              <w:tab w:val="clear" w:pos="8640"/>
              <w:tab w:val="left" w:pos="2865"/>
            </w:tabs>
            <w:rPr>
              <w:rFonts w:ascii="Shruti" w:hAnsi="Shruti"/>
              <w:sz w:val="22"/>
            </w:rPr>
          </w:pPr>
          <w:r>
            <w:rPr>
              <w:rFonts w:ascii="Shruti" w:hAnsi="Shruti"/>
              <w:sz w:val="22"/>
            </w:rPr>
            <w:t>Substitute Document Number: 85R 18866</w:t>
          </w:r>
        </w:p>
      </w:tc>
      <w:tc>
        <w:tcPr>
          <w:tcW w:w="2453" w:type="pct"/>
        </w:tcPr>
        <w:p w:rsidR="00EC379B" w:rsidRDefault="002B1ABA" w:rsidP="006D504F">
          <w:pPr>
            <w:pStyle w:val="Footer"/>
            <w:rPr>
              <w:rStyle w:val="PageNumber"/>
            </w:rPr>
          </w:pPr>
        </w:p>
        <w:p w:rsidR="00EC379B" w:rsidRDefault="002B1ABA" w:rsidP="009C1E9A">
          <w:pPr>
            <w:pStyle w:val="Footer"/>
            <w:tabs>
              <w:tab w:val="clear" w:pos="8640"/>
              <w:tab w:val="right" w:pos="9360"/>
            </w:tabs>
            <w:jc w:val="right"/>
          </w:pPr>
        </w:p>
      </w:tc>
    </w:tr>
    <w:tr w:rsidR="007A7A60" w:rsidTr="009C1E9A">
      <w:trPr>
        <w:cantSplit/>
        <w:trHeight w:val="323"/>
      </w:trPr>
      <w:tc>
        <w:tcPr>
          <w:tcW w:w="0" w:type="pct"/>
          <w:gridSpan w:val="3"/>
        </w:tcPr>
        <w:p w:rsidR="00EC379B" w:rsidRDefault="002B1AB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B1ABA" w:rsidP="009C1E9A">
          <w:pPr>
            <w:pStyle w:val="Footer"/>
            <w:tabs>
              <w:tab w:val="clear" w:pos="8640"/>
              <w:tab w:val="right" w:pos="9360"/>
            </w:tabs>
            <w:jc w:val="center"/>
          </w:pPr>
        </w:p>
      </w:tc>
    </w:tr>
  </w:tbl>
  <w:p w:rsidR="00EC379B" w:rsidRPr="00FF6F72" w:rsidRDefault="002B1ABA"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1ABA">
      <w:r>
        <w:separator/>
      </w:r>
    </w:p>
  </w:footnote>
  <w:footnote w:type="continuationSeparator" w:id="0">
    <w:p w:rsidR="00000000" w:rsidRDefault="002B1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A60"/>
    <w:rsid w:val="002B1ABA"/>
    <w:rsid w:val="007A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B1D54"/>
    <w:rPr>
      <w:sz w:val="16"/>
      <w:szCs w:val="16"/>
    </w:rPr>
  </w:style>
  <w:style w:type="paragraph" w:styleId="CommentText">
    <w:name w:val="annotation text"/>
    <w:basedOn w:val="Normal"/>
    <w:link w:val="CommentTextChar"/>
    <w:rsid w:val="008B1D54"/>
    <w:rPr>
      <w:sz w:val="20"/>
      <w:szCs w:val="20"/>
    </w:rPr>
  </w:style>
  <w:style w:type="character" w:customStyle="1" w:styleId="CommentTextChar">
    <w:name w:val="Comment Text Char"/>
    <w:basedOn w:val="DefaultParagraphFont"/>
    <w:link w:val="CommentText"/>
    <w:rsid w:val="008B1D54"/>
  </w:style>
  <w:style w:type="paragraph" w:styleId="CommentSubject">
    <w:name w:val="annotation subject"/>
    <w:basedOn w:val="CommentText"/>
    <w:next w:val="CommentText"/>
    <w:link w:val="CommentSubjectChar"/>
    <w:rsid w:val="008B1D54"/>
    <w:rPr>
      <w:b/>
      <w:bCs/>
    </w:rPr>
  </w:style>
  <w:style w:type="character" w:customStyle="1" w:styleId="CommentSubjectChar">
    <w:name w:val="Comment Subject Char"/>
    <w:basedOn w:val="CommentTextChar"/>
    <w:link w:val="CommentSubject"/>
    <w:rsid w:val="008B1D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B1D54"/>
    <w:rPr>
      <w:sz w:val="16"/>
      <w:szCs w:val="16"/>
    </w:rPr>
  </w:style>
  <w:style w:type="paragraph" w:styleId="CommentText">
    <w:name w:val="annotation text"/>
    <w:basedOn w:val="Normal"/>
    <w:link w:val="CommentTextChar"/>
    <w:rsid w:val="008B1D54"/>
    <w:rPr>
      <w:sz w:val="20"/>
      <w:szCs w:val="20"/>
    </w:rPr>
  </w:style>
  <w:style w:type="character" w:customStyle="1" w:styleId="CommentTextChar">
    <w:name w:val="Comment Text Char"/>
    <w:basedOn w:val="DefaultParagraphFont"/>
    <w:link w:val="CommentText"/>
    <w:rsid w:val="008B1D54"/>
  </w:style>
  <w:style w:type="paragraph" w:styleId="CommentSubject">
    <w:name w:val="annotation subject"/>
    <w:basedOn w:val="CommentText"/>
    <w:next w:val="CommentText"/>
    <w:link w:val="CommentSubjectChar"/>
    <w:rsid w:val="008B1D54"/>
    <w:rPr>
      <w:b/>
      <w:bCs/>
    </w:rPr>
  </w:style>
  <w:style w:type="character" w:customStyle="1" w:styleId="CommentSubjectChar">
    <w:name w:val="Comment Subject Char"/>
    <w:basedOn w:val="CommentTextChar"/>
    <w:link w:val="CommentSubject"/>
    <w:rsid w:val="008B1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5343</Characters>
  <Application>Microsoft Office Word</Application>
  <DocSecurity>4</DocSecurity>
  <Lines>170</Lines>
  <Paragraphs>36</Paragraphs>
  <ScaleCrop>false</ScaleCrop>
  <HeadingPairs>
    <vt:vector size="2" baseType="variant">
      <vt:variant>
        <vt:lpstr>Title</vt:lpstr>
      </vt:variant>
      <vt:variant>
        <vt:i4>1</vt:i4>
      </vt:variant>
    </vt:vector>
  </HeadingPairs>
  <TitlesOfParts>
    <vt:vector size="1" baseType="lpstr">
      <vt:lpstr>BA - HB00183 (Committee Report (Substituted))</vt:lpstr>
    </vt:vector>
  </TitlesOfParts>
  <Company>State of Texas</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19361</dc:subject>
  <dc:creator>State of Texas</dc:creator>
  <dc:description>HB 183 by Dutton-(H)Corrections (Substitute Document Number: 85R 18866)</dc:description>
  <cp:lastModifiedBy>Brianna Weis</cp:lastModifiedBy>
  <cp:revision>2</cp:revision>
  <cp:lastPrinted>2017-03-25T15:09:00Z</cp:lastPrinted>
  <dcterms:created xsi:type="dcterms:W3CDTF">2017-03-29T16:34:00Z</dcterms:created>
  <dcterms:modified xsi:type="dcterms:W3CDTF">2017-03-29T16:34:00Z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17.83.492</vt:lpwstr>
  </property>
</Properties>
</file>