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88R14229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Gervin-Hawkins</w:t>
      </w:r>
      <w:r xml:space="preserve">
        <w:tab wTab="150" tlc="none" cTlc="0"/>
      </w:r>
      <w:r>
        <w:t xml:space="preserve">H.B.</w:t>
      </w:r>
      <w:r xml:space="preserve">
        <w:t> </w:t>
      </w:r>
      <w:r>
        <w:t xml:space="preserve">No.</w:t>
      </w:r>
      <w:r xml:space="preserve">
        <w:t> </w:t>
      </w:r>
      <w:r>
        <w:t xml:space="preserve">3695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to issue a citation in lieu of arrest for certain Class A and B misdemeanors.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14.06(c), Code of Criminal Procedure, is amended to read as follows:</w:t>
      </w:r>
    </w:p>
    <w:p w:rsidR="003F3435" w:rsidRDefault="0032493E">
      <w:pPr>
        <w:spacing w:line="480" w:lineRule="auto"/>
        <w:ind w:firstLine="720"/>
        <w:jc w:val="both"/>
      </w:pPr>
      <w:r>
        <w:t xml:space="preserve">(c)</w:t>
      </w:r>
      <w:r xml:space="preserve">
        <w:t> </w:t>
      </w:r>
      <w:r xml:space="preserve">
        <w:t> </w:t>
      </w:r>
      <w:r>
        <w:t xml:space="preserve">If the person resides in </w:t>
      </w:r>
      <w:r>
        <w:rPr>
          <w:u w:val="single"/>
        </w:rPr>
        <w:t xml:space="preserve">this state</w:t>
      </w:r>
      <w:r>
        <w:t xml:space="preserve"> [</w:t>
      </w:r>
      <w:r>
        <w:rPr>
          <w:strike/>
        </w:rPr>
        <w:t xml:space="preserve">the county where the offense occurred</w:t>
      </w:r>
      <w:r>
        <w:t xml:space="preserve">], a peace officer who is charging a person with committing an offense that is a Class A or B misdemeanor may, instead of taking the person before a magistrate, issue a citation to the person that contains written notice of the time and place the person must appear before a magistrate of this state as described by Subsection (a), the name and address of the person charged, and the offense charged.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