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88R3134 JTZ-D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Creighton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838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school districts and open-enrollment charter schools providing panic alert devices in classrooms.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Alyssa's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37, Education Code, is amended by adding Section 37.117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37.117.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PANIC ALERT DEVICE.  (a) </w:t>
      </w:r>
      <w:r>
        <w:rPr>
          <w:u w:val="single"/>
        </w:rPr>
        <w:t xml:space="preserve"> </w:t>
      </w:r>
      <w:r>
        <w:rPr>
          <w:u w:val="single"/>
        </w:rPr>
        <w:t xml:space="preserve">Each school district and open-enrollment charter school shall provide each classroom in the district or school with a panic alert device that allows for immediate contact with district or school emergency services or emergency services agencies, law enforcement agencies, health departments, and fire departments.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panic alert device provided by a school district or open-enrollment charter school under this section does not satisfy the requirement under Section 37.108(a)(2) for the district or school to ensure employees have classroom access to a telephone or another electronic communication device.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comply with this section, a school district or open-enrollment charter school may: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funds provided to the district or school through the school safety allotment under Section 48.115 or other available funds;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the district's or school's customary procurement process.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2025-2026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838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