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BC6C69" w:rsidTr="000D5B5A">
        <w:trPr>
          <w:cantSplit/>
          <w:tblHeader/>
        </w:trPr>
        <w:tc>
          <w:tcPr>
            <w:tcW w:w="18740" w:type="dxa"/>
            <w:gridSpan w:val="3"/>
          </w:tcPr>
          <w:p w:rsidR="00CA62C8" w:rsidRDefault="00A57FD5">
            <w:pPr>
              <w:ind w:left="650"/>
              <w:jc w:val="center"/>
            </w:pPr>
            <w:r>
              <w:rPr>
                <w:b/>
              </w:rPr>
              <w:t xml:space="preserve">House </w:t>
            </w:r>
            <w:smartTag w:uri="urn:schemas:contacts" w:element="GivenName">
              <w:r>
                <w:rPr>
                  <w:b/>
                </w:rPr>
                <w:t>Bill</w:t>
              </w:r>
            </w:smartTag>
            <w:r>
              <w:rPr>
                <w:b/>
              </w:rPr>
              <w:t xml:space="preserve">  1173</w:t>
            </w:r>
          </w:p>
          <w:p w:rsidR="00CA62C8" w:rsidRDefault="00A57FD5">
            <w:pPr>
              <w:ind w:left="650"/>
              <w:jc w:val="center"/>
            </w:pPr>
            <w:r>
              <w:t>Senate Amendments</w:t>
            </w:r>
          </w:p>
          <w:p w:rsidR="00CA62C8" w:rsidRDefault="00A57FD5">
            <w:pPr>
              <w:ind w:left="650"/>
              <w:jc w:val="center"/>
            </w:pPr>
            <w:r>
              <w:t>Section-by-Section Analysis</w:t>
            </w:r>
          </w:p>
          <w:p w:rsidR="00CA62C8" w:rsidRDefault="00CA62C8">
            <w:pPr>
              <w:jc w:val="center"/>
            </w:pPr>
          </w:p>
        </w:tc>
      </w:tr>
      <w:tr w:rsidR="00CA62C8" w:rsidTr="000D5B5A">
        <w:trPr>
          <w:cantSplit/>
          <w:tblHeader/>
        </w:trPr>
        <w:tc>
          <w:tcPr>
            <w:tcW w:w="6248" w:type="dxa"/>
            <w:tcMar>
              <w:bottom w:w="188" w:type="dxa"/>
              <w:right w:w="0" w:type="dxa"/>
            </w:tcMar>
          </w:tcPr>
          <w:p w:rsidR="00CA62C8" w:rsidRDefault="00A57FD5">
            <w:pPr>
              <w:jc w:val="center"/>
            </w:pPr>
            <w:r>
              <w:t>HOUSE VERSION</w:t>
            </w:r>
          </w:p>
        </w:tc>
        <w:tc>
          <w:tcPr>
            <w:tcW w:w="6248" w:type="dxa"/>
            <w:tcMar>
              <w:bottom w:w="188" w:type="dxa"/>
              <w:right w:w="0" w:type="dxa"/>
            </w:tcMar>
          </w:tcPr>
          <w:p w:rsidR="00CA62C8" w:rsidRDefault="00A57FD5">
            <w:pPr>
              <w:jc w:val="center"/>
            </w:pPr>
            <w:r>
              <w:t>SENATE VERSION (IE)</w:t>
            </w:r>
          </w:p>
        </w:tc>
        <w:tc>
          <w:tcPr>
            <w:tcW w:w="6244" w:type="dxa"/>
            <w:tcMar>
              <w:bottom w:w="188" w:type="dxa"/>
              <w:right w:w="0" w:type="dxa"/>
            </w:tcMar>
          </w:tcPr>
          <w:p w:rsidR="00CA62C8" w:rsidRDefault="00A57FD5">
            <w:pPr>
              <w:jc w:val="center"/>
            </w:pPr>
            <w:r>
              <w:t>CONFERENCE</w:t>
            </w:r>
          </w:p>
        </w:tc>
      </w:tr>
      <w:tr w:rsidR="00CA62C8" w:rsidTr="000D5B5A">
        <w:tc>
          <w:tcPr>
            <w:tcW w:w="6248" w:type="dxa"/>
          </w:tcPr>
          <w:p w:rsidR="00CA62C8" w:rsidRDefault="00A57FD5">
            <w:pPr>
              <w:jc w:val="both"/>
            </w:pPr>
            <w:r>
              <w:t>SECTION 1.  Article 17.033(a), Code of Criminal Procedure, is amended to read as follows:</w:t>
            </w:r>
          </w:p>
          <w:p w:rsidR="00CA62C8" w:rsidRDefault="00A57FD5">
            <w:pPr>
              <w:jc w:val="both"/>
            </w:pPr>
            <w:r>
              <w:t>(a)  Except as provided by Subsection (c), a person who is arrested without a warrant and who is detained in jail must be released on bond, in an amount not to exceed $5,000, not later than the 24th hour after the person's arrest</w:t>
            </w:r>
            <w:r>
              <w:rPr>
                <w:u w:val="single"/>
              </w:rPr>
              <w:t>, or the 36th hour after the person's arrest in a county with a population of three million or more,</w:t>
            </w:r>
            <w:r>
              <w:t xml:space="preserve"> if the person was arrested for a misdemeanor and a magistrate has not determined whether probable cause exists to believe that the person committed the offense.  If the person is unable to obtain a surety for the bond or unable to deposit money in the amount of the bond, the person must be released on personal bond.</w:t>
            </w:r>
          </w:p>
          <w:p w:rsidR="00CA62C8" w:rsidRDefault="00CA62C8">
            <w:pPr>
              <w:jc w:val="both"/>
            </w:pPr>
          </w:p>
        </w:tc>
        <w:tc>
          <w:tcPr>
            <w:tcW w:w="6248" w:type="dxa"/>
          </w:tcPr>
          <w:p w:rsidR="00CA62C8" w:rsidRDefault="00A57FD5">
            <w:pPr>
              <w:jc w:val="both"/>
            </w:pPr>
            <w:r w:rsidRPr="00BC6C69">
              <w:rPr>
                <w:highlight w:val="yellow"/>
              </w:rPr>
              <w:t>No equivalent provision.</w:t>
            </w:r>
          </w:p>
          <w:p w:rsidR="00CA62C8" w:rsidRDefault="00CA62C8">
            <w:pPr>
              <w:jc w:val="both"/>
            </w:pPr>
          </w:p>
        </w:tc>
        <w:tc>
          <w:tcPr>
            <w:tcW w:w="6244" w:type="dxa"/>
          </w:tcPr>
          <w:p w:rsidR="00CA62C8" w:rsidRDefault="00CA62C8">
            <w:pPr>
              <w:jc w:val="both"/>
            </w:pPr>
          </w:p>
        </w:tc>
      </w:tr>
      <w:tr w:rsidR="00CA62C8" w:rsidTr="000D5B5A">
        <w:tc>
          <w:tcPr>
            <w:tcW w:w="6248" w:type="dxa"/>
          </w:tcPr>
          <w:p w:rsidR="00CA62C8" w:rsidRDefault="00A57FD5">
            <w:pPr>
              <w:jc w:val="both"/>
            </w:pPr>
            <w:r w:rsidRPr="00BC6C69">
              <w:rPr>
                <w:highlight w:val="yellow"/>
              </w:rPr>
              <w:t>No equivalent provision.</w:t>
            </w:r>
          </w:p>
          <w:p w:rsidR="00CA62C8" w:rsidRDefault="00CA62C8">
            <w:pPr>
              <w:jc w:val="both"/>
            </w:pPr>
          </w:p>
        </w:tc>
        <w:tc>
          <w:tcPr>
            <w:tcW w:w="6248" w:type="dxa"/>
          </w:tcPr>
          <w:p w:rsidR="00CA62C8" w:rsidRDefault="00A57FD5">
            <w:pPr>
              <w:jc w:val="both"/>
            </w:pPr>
            <w:r>
              <w:t>SECTION 1.  Article 17.033, Code of Criminal Procedure, is amended by adding Subsections (a-1) and (e) and amending Subsections (c) and (d) to read as follows:</w:t>
            </w:r>
          </w:p>
          <w:p w:rsidR="00CA62C8" w:rsidRDefault="00A57FD5">
            <w:pPr>
              <w:jc w:val="both"/>
            </w:pPr>
            <w:r>
              <w:rPr>
                <w:u w:val="single"/>
              </w:rPr>
              <w:t>(a-1)  Notwithstanding Subsection (a) and except as provided by Subsection (c), a person who, in a county with a population of three million or more, is arrested without a warrant and who is detained in jail must be released on bond, in an amount not to exceed $5,000, not later than the 36th hour after the person's arrest if the person was arrested for a misdemeanor and a magistrate has not determined whether probable cause exists to believe that the person committed the offense.</w:t>
            </w:r>
          </w:p>
          <w:p w:rsidR="00CA62C8" w:rsidRDefault="00A57FD5">
            <w:pPr>
              <w:jc w:val="both"/>
            </w:pPr>
            <w:r>
              <w:t>(c)  On the filing of an application by the attorney representing the state, a magistrate may postpone the release of a person under Subsection (a)</w:t>
            </w:r>
            <w:r>
              <w:rPr>
                <w:u w:val="single"/>
              </w:rPr>
              <w:t>, (a-1),</w:t>
            </w:r>
            <w:r>
              <w:t xml:space="preserve"> or (b) for not more than 72 hours after the person's arrest.  An application filed under this subsection must state the reason a magistrate has not determined whether probable cause exists to believe that </w:t>
            </w:r>
            <w:r>
              <w:lastRenderedPageBreak/>
              <w:t>the person committed the offense for which the person was arrested.</w:t>
            </w:r>
          </w:p>
          <w:p w:rsidR="00CA62C8" w:rsidRDefault="00A57FD5">
            <w:pPr>
              <w:jc w:val="both"/>
            </w:pPr>
            <w:r>
              <w:t>(d)  The time limits imposed by Subsections (a)</w:t>
            </w:r>
            <w:r>
              <w:rPr>
                <w:u w:val="single"/>
              </w:rPr>
              <w:t>, (a-1),</w:t>
            </w:r>
            <w:r>
              <w:t xml:space="preserve"> and (b) do not apply to a person arrested without a warrant who is taken to a hospital, clinic, or other medical facility before being taken before a magistrate under Article 15.17.  For a person described by this subsection, the time limits imposed by Subsections (a)</w:t>
            </w:r>
            <w:r>
              <w:rPr>
                <w:u w:val="single"/>
              </w:rPr>
              <w:t>, (a-1),</w:t>
            </w:r>
            <w:r>
              <w:t xml:space="preserve"> and (b) begin to run at the time, as documented in the records of the hospital, clinic, or other medical facility, that a physician or other medical professional releases the person from the hospital, clinic, or other medical facility.</w:t>
            </w:r>
          </w:p>
          <w:p w:rsidR="00CA62C8" w:rsidRDefault="00A57FD5">
            <w:pPr>
              <w:jc w:val="both"/>
            </w:pPr>
            <w:r>
              <w:rPr>
                <w:u w:val="single"/>
              </w:rPr>
              <w:t>(e)  Subsection (a-1) and this subsection expire on September 1, 2013.</w:t>
            </w:r>
            <w:r>
              <w:t xml:space="preserve">  [FA1(1)]</w:t>
            </w:r>
          </w:p>
          <w:p w:rsidR="00CA62C8" w:rsidRDefault="00CA62C8">
            <w:pPr>
              <w:jc w:val="both"/>
            </w:pPr>
          </w:p>
        </w:tc>
        <w:tc>
          <w:tcPr>
            <w:tcW w:w="6244" w:type="dxa"/>
          </w:tcPr>
          <w:p w:rsidR="00CA62C8" w:rsidRDefault="00CA62C8">
            <w:pPr>
              <w:jc w:val="both"/>
            </w:pPr>
          </w:p>
        </w:tc>
      </w:tr>
      <w:tr w:rsidR="00CA62C8" w:rsidTr="000D5B5A">
        <w:tc>
          <w:tcPr>
            <w:tcW w:w="6248" w:type="dxa"/>
          </w:tcPr>
          <w:p w:rsidR="00CA62C8" w:rsidRDefault="00A57FD5">
            <w:pPr>
              <w:jc w:val="both"/>
            </w:pPr>
            <w:r w:rsidRPr="00BC6C69">
              <w:rPr>
                <w:highlight w:val="yellow"/>
              </w:rPr>
              <w:lastRenderedPageBreak/>
              <w:t>No equivalent provision.</w:t>
            </w:r>
          </w:p>
          <w:p w:rsidR="00CA62C8" w:rsidRDefault="00CA62C8">
            <w:pPr>
              <w:jc w:val="both"/>
            </w:pPr>
          </w:p>
        </w:tc>
        <w:tc>
          <w:tcPr>
            <w:tcW w:w="6248" w:type="dxa"/>
          </w:tcPr>
          <w:p w:rsidR="00CA62C8" w:rsidRDefault="00A57FD5">
            <w:pPr>
              <w:jc w:val="both"/>
            </w:pPr>
            <w:r>
              <w:t>SECTION __.  Chapter 17, Code of Criminal Procedure, is amended by adding Article 17.0331 to read as follows:</w:t>
            </w:r>
          </w:p>
          <w:p w:rsidR="00CA62C8" w:rsidRDefault="00A57FD5">
            <w:pPr>
              <w:jc w:val="both"/>
            </w:pPr>
            <w:smartTag w:uri="urn:schemas:contacts" w:element="GivenName">
              <w:r>
                <w:rPr>
                  <w:u w:val="single"/>
                </w:rPr>
                <w:t>Art</w:t>
              </w:r>
            </w:smartTag>
            <w:r>
              <w:rPr>
                <w:u w:val="single"/>
              </w:rPr>
              <w:t>. 17.0331.  IMPACT STUDY.  (a)  This article applies only to a county with a population of three million or more.</w:t>
            </w:r>
          </w:p>
          <w:p w:rsidR="00CA62C8" w:rsidRDefault="00A57FD5">
            <w:pPr>
              <w:jc w:val="both"/>
            </w:pPr>
            <w:r>
              <w:rPr>
                <w:u w:val="single"/>
              </w:rPr>
              <w:t>(b)  Each county to which this article applies shall  conduct an impact study to determine the effect of Article 17.033(a-1) on the county's ability to control and process the county's misdemeanor caseload, including a specific assessment of the effect of that subsection on:</w:t>
            </w:r>
          </w:p>
          <w:p w:rsidR="00CA62C8" w:rsidRDefault="00A57FD5">
            <w:pPr>
              <w:jc w:val="both"/>
            </w:pPr>
            <w:r>
              <w:rPr>
                <w:u w:val="single"/>
              </w:rPr>
              <w:t>(1)  the average number of hours a person who is arrested for a misdemeanor is detained in jail before being released on bond;</w:t>
            </w:r>
          </w:p>
          <w:p w:rsidR="00CA62C8" w:rsidRDefault="00A57FD5">
            <w:pPr>
              <w:jc w:val="both"/>
            </w:pPr>
            <w:r>
              <w:rPr>
                <w:u w:val="single"/>
              </w:rPr>
              <w:t>(2)  bonding practices, including the number of persons released on personal bond;</w:t>
            </w:r>
          </w:p>
          <w:p w:rsidR="00CA62C8" w:rsidRDefault="00A57FD5">
            <w:pPr>
              <w:jc w:val="both"/>
            </w:pPr>
            <w:r>
              <w:rPr>
                <w:u w:val="single"/>
              </w:rPr>
              <w:t>(3)  the inmate population in a county jail and in a each municipal jail located in the county;</w:t>
            </w:r>
          </w:p>
          <w:p w:rsidR="00CA62C8" w:rsidRDefault="00A57FD5">
            <w:pPr>
              <w:jc w:val="both"/>
            </w:pPr>
            <w:r>
              <w:rPr>
                <w:u w:val="single"/>
              </w:rPr>
              <w:lastRenderedPageBreak/>
              <w:t>(4)  the number of arrests for misdemeanor offenses;</w:t>
            </w:r>
          </w:p>
          <w:p w:rsidR="00CA62C8" w:rsidRDefault="00A57FD5">
            <w:pPr>
              <w:jc w:val="both"/>
            </w:pPr>
            <w:r>
              <w:rPr>
                <w:u w:val="single"/>
              </w:rPr>
              <w:t>(5)  public safety;</w:t>
            </w:r>
          </w:p>
          <w:p w:rsidR="00CA62C8" w:rsidRDefault="00A57FD5">
            <w:pPr>
              <w:jc w:val="both"/>
            </w:pPr>
            <w:r>
              <w:rPr>
                <w:u w:val="single"/>
              </w:rPr>
              <w:t>(6)  costs to the criminal justice system; and</w:t>
            </w:r>
          </w:p>
          <w:p w:rsidR="00CA62C8" w:rsidRDefault="00A57FD5">
            <w:pPr>
              <w:jc w:val="both"/>
            </w:pPr>
            <w:r>
              <w:rPr>
                <w:u w:val="single"/>
              </w:rPr>
              <w:t>(7)  the number of applications filed by the attorney representing the state under Article 17.033(c).</w:t>
            </w:r>
          </w:p>
          <w:p w:rsidR="00CA62C8" w:rsidRDefault="00A57FD5">
            <w:pPr>
              <w:jc w:val="both"/>
            </w:pPr>
            <w:r>
              <w:rPr>
                <w:u w:val="single"/>
              </w:rPr>
              <w:t xml:space="preserve">(c)  The county shall also determine whether a more cost-effective method of controlling and processing misdemeanor caseloads exists than an extension of the period for which a person may be detained after a misdemeanor arrest. </w:t>
            </w:r>
          </w:p>
          <w:p w:rsidR="00CA62C8" w:rsidRDefault="00A57FD5">
            <w:pPr>
              <w:jc w:val="both"/>
            </w:pPr>
            <w:r>
              <w:rPr>
                <w:u w:val="single"/>
              </w:rPr>
              <w:t>(d)  Not later than October 15, 2012, the county must file the impact study with:</w:t>
            </w:r>
          </w:p>
          <w:p w:rsidR="00CA62C8" w:rsidRDefault="00A57FD5">
            <w:pPr>
              <w:jc w:val="both"/>
            </w:pPr>
            <w:r>
              <w:rPr>
                <w:u w:val="single"/>
              </w:rPr>
              <w:t>(1)  the commissioners court of the county;</w:t>
            </w:r>
          </w:p>
          <w:p w:rsidR="00CA62C8" w:rsidRDefault="00A57FD5">
            <w:pPr>
              <w:jc w:val="both"/>
            </w:pPr>
            <w:r>
              <w:rPr>
                <w:u w:val="single"/>
              </w:rPr>
              <w:t>(2)  the Senate Committee on Criminal Justice;</w:t>
            </w:r>
          </w:p>
          <w:p w:rsidR="00CA62C8" w:rsidRDefault="00A57FD5">
            <w:pPr>
              <w:jc w:val="both"/>
            </w:pPr>
            <w:r>
              <w:rPr>
                <w:u w:val="single"/>
              </w:rPr>
              <w:t>(3)  the Senate Committee on Jurisprudence; and</w:t>
            </w:r>
          </w:p>
          <w:p w:rsidR="00CA62C8" w:rsidRDefault="00A57FD5">
            <w:pPr>
              <w:jc w:val="both"/>
            </w:pPr>
            <w:r>
              <w:rPr>
                <w:u w:val="single"/>
              </w:rPr>
              <w:t>(4)_  the House Criminal Jurisprudence Committee.</w:t>
            </w:r>
          </w:p>
          <w:p w:rsidR="00CA62C8" w:rsidRDefault="00A57FD5">
            <w:pPr>
              <w:jc w:val="both"/>
            </w:pPr>
            <w:r>
              <w:rPr>
                <w:u w:val="single"/>
              </w:rPr>
              <w:t>(e)  The county shall make the results of the impact study available to the public.</w:t>
            </w:r>
          </w:p>
          <w:p w:rsidR="00CA62C8" w:rsidRDefault="00A57FD5">
            <w:pPr>
              <w:jc w:val="both"/>
            </w:pPr>
            <w:r>
              <w:rPr>
                <w:u w:val="single"/>
              </w:rPr>
              <w:t>(f)  This article expires on September 1, 2013.</w:t>
            </w:r>
            <w:r>
              <w:t xml:space="preserve">  [FA1(3)]</w:t>
            </w:r>
          </w:p>
          <w:p w:rsidR="00CA62C8" w:rsidRDefault="00CA62C8">
            <w:pPr>
              <w:jc w:val="both"/>
            </w:pPr>
          </w:p>
        </w:tc>
        <w:tc>
          <w:tcPr>
            <w:tcW w:w="6244" w:type="dxa"/>
          </w:tcPr>
          <w:p w:rsidR="00CA62C8" w:rsidRDefault="00CA62C8">
            <w:pPr>
              <w:jc w:val="both"/>
            </w:pPr>
          </w:p>
        </w:tc>
      </w:tr>
      <w:tr w:rsidR="00CA62C8" w:rsidTr="000D5B5A">
        <w:tc>
          <w:tcPr>
            <w:tcW w:w="6248" w:type="dxa"/>
          </w:tcPr>
          <w:p w:rsidR="00CA62C8" w:rsidRDefault="000D5B5A">
            <w:pPr>
              <w:jc w:val="both"/>
            </w:pPr>
            <w:r>
              <w:lastRenderedPageBreak/>
              <w:t>SECTION 2.  The change in law made by this Act applies only to a person arrested for an offense committed on or after the effective date of this Act.  A person arrested for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tc>
        <w:tc>
          <w:tcPr>
            <w:tcW w:w="6248" w:type="dxa"/>
          </w:tcPr>
          <w:p w:rsidR="00CA62C8" w:rsidRDefault="00A57FD5">
            <w:pPr>
              <w:jc w:val="both"/>
            </w:pPr>
            <w:r>
              <w:t xml:space="preserve">SECTION 2.  The change in law made by this Act </w:t>
            </w:r>
            <w:r w:rsidRPr="000D5B5A">
              <w:rPr>
                <w:highlight w:val="yellow"/>
              </w:rPr>
              <w:t>in amending Article 17.033, Code of Criminal Procedure</w:t>
            </w:r>
            <w:r>
              <w:t>, applies only to a person arrested for an offense committed on or after the effective date of this Act.  A person arrested for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  [FA1(2)]</w:t>
            </w:r>
          </w:p>
          <w:p w:rsidR="00CA62C8" w:rsidRDefault="00CA62C8">
            <w:pPr>
              <w:jc w:val="both"/>
            </w:pPr>
          </w:p>
        </w:tc>
        <w:tc>
          <w:tcPr>
            <w:tcW w:w="6244" w:type="dxa"/>
          </w:tcPr>
          <w:p w:rsidR="00CA62C8" w:rsidRDefault="00CA62C8">
            <w:pPr>
              <w:jc w:val="both"/>
            </w:pPr>
          </w:p>
        </w:tc>
      </w:tr>
      <w:tr w:rsidR="00CA62C8" w:rsidTr="003E376C">
        <w:trPr>
          <w:trHeight w:val="684"/>
        </w:trPr>
        <w:tc>
          <w:tcPr>
            <w:tcW w:w="6248" w:type="dxa"/>
          </w:tcPr>
          <w:p w:rsidR="003E376C" w:rsidRDefault="00A57FD5">
            <w:pPr>
              <w:jc w:val="both"/>
            </w:pPr>
            <w:r>
              <w:lastRenderedPageBreak/>
              <w:t>SECTION 3.  This Act takes effect September 1, 2011.</w:t>
            </w:r>
          </w:p>
        </w:tc>
        <w:tc>
          <w:tcPr>
            <w:tcW w:w="6248" w:type="dxa"/>
          </w:tcPr>
          <w:p w:rsidR="00CA62C8" w:rsidRDefault="00A57FD5">
            <w:pPr>
              <w:jc w:val="both"/>
            </w:pPr>
            <w:r>
              <w:t>SECTION 3. Same as House version.</w:t>
            </w:r>
          </w:p>
        </w:tc>
        <w:tc>
          <w:tcPr>
            <w:tcW w:w="6244" w:type="dxa"/>
          </w:tcPr>
          <w:p w:rsidR="00CA62C8" w:rsidRDefault="00CA62C8">
            <w:pPr>
              <w:jc w:val="both"/>
            </w:pPr>
          </w:p>
        </w:tc>
      </w:tr>
    </w:tbl>
    <w:p w:rsidR="00123EB4" w:rsidRPr="00472628" w:rsidRDefault="00123EB4" w:rsidP="0002600F">
      <w:pPr>
        <w:rPr>
          <w:sz w:val="2"/>
          <w:szCs w:val="2"/>
        </w:rPr>
      </w:pPr>
    </w:p>
    <w:sectPr w:rsidR="00123EB4" w:rsidRPr="00472628" w:rsidSect="00CA62C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6EF" w:rsidRDefault="002126EF" w:rsidP="00CA62C8">
      <w:r>
        <w:separator/>
      </w:r>
    </w:p>
  </w:endnote>
  <w:endnote w:type="continuationSeparator" w:id="0">
    <w:p w:rsidR="002126EF" w:rsidRDefault="002126EF" w:rsidP="00CA6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79" w:rsidRDefault="006D2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B4" w:rsidRDefault="004003DE">
    <w:pPr>
      <w:tabs>
        <w:tab w:val="center" w:pos="9360"/>
        <w:tab w:val="right" w:pos="18720"/>
      </w:tabs>
    </w:pPr>
    <w:fldSimple w:instr=" DOCPROPERTY  CCRF  \* MERGEFORMAT ">
      <w:r w:rsidR="006D2B79">
        <w:t xml:space="preserve"> </w:t>
      </w:r>
    </w:fldSimple>
    <w:r w:rsidR="00123EB4">
      <w:tab/>
    </w:r>
    <w:fldSimple w:instr=" PAGE ">
      <w:r w:rsidR="002300AA">
        <w:rPr>
          <w:noProof/>
        </w:rPr>
        <w:t>1</w:t>
      </w:r>
    </w:fldSimple>
    <w:r w:rsidR="00123EB4">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79" w:rsidRDefault="006D2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6EF" w:rsidRDefault="002126EF" w:rsidP="00CA62C8">
      <w:r>
        <w:separator/>
      </w:r>
    </w:p>
  </w:footnote>
  <w:footnote w:type="continuationSeparator" w:id="0">
    <w:p w:rsidR="002126EF" w:rsidRDefault="002126EF" w:rsidP="00CA6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79" w:rsidRDefault="006D2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79" w:rsidRDefault="006D2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79" w:rsidRDefault="006D2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CA62C8"/>
    <w:rsid w:val="0002600F"/>
    <w:rsid w:val="0002787E"/>
    <w:rsid w:val="000D5B5A"/>
    <w:rsid w:val="00123EB4"/>
    <w:rsid w:val="002126EF"/>
    <w:rsid w:val="002300AA"/>
    <w:rsid w:val="002F14CB"/>
    <w:rsid w:val="003E376C"/>
    <w:rsid w:val="004003DE"/>
    <w:rsid w:val="00434874"/>
    <w:rsid w:val="00472628"/>
    <w:rsid w:val="006D2B79"/>
    <w:rsid w:val="0071450E"/>
    <w:rsid w:val="0074668A"/>
    <w:rsid w:val="008A650C"/>
    <w:rsid w:val="00A57FD5"/>
    <w:rsid w:val="00BC6C69"/>
    <w:rsid w:val="00C4713C"/>
    <w:rsid w:val="00CA62C8"/>
    <w:rsid w:val="00FF6A5D"/>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C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3EB4"/>
    <w:pPr>
      <w:tabs>
        <w:tab w:val="center" w:pos="4680"/>
        <w:tab w:val="right" w:pos="9360"/>
      </w:tabs>
    </w:pPr>
  </w:style>
  <w:style w:type="character" w:customStyle="1" w:styleId="HeaderChar">
    <w:name w:val="Header Char"/>
    <w:basedOn w:val="DefaultParagraphFont"/>
    <w:link w:val="Header"/>
    <w:uiPriority w:val="99"/>
    <w:semiHidden/>
    <w:rsid w:val="00123EB4"/>
    <w:rPr>
      <w:sz w:val="22"/>
    </w:rPr>
  </w:style>
  <w:style w:type="paragraph" w:styleId="Footer">
    <w:name w:val="footer"/>
    <w:basedOn w:val="Normal"/>
    <w:link w:val="FooterChar"/>
    <w:uiPriority w:val="99"/>
    <w:semiHidden/>
    <w:unhideWhenUsed/>
    <w:rsid w:val="00123EB4"/>
    <w:pPr>
      <w:tabs>
        <w:tab w:val="center" w:pos="4680"/>
        <w:tab w:val="right" w:pos="9360"/>
      </w:tabs>
    </w:pPr>
  </w:style>
  <w:style w:type="character" w:customStyle="1" w:styleId="FooterChar">
    <w:name w:val="Footer Char"/>
    <w:basedOn w:val="DefaultParagraphFont"/>
    <w:link w:val="Footer"/>
    <w:uiPriority w:val="99"/>
    <w:semiHidden/>
    <w:rsid w:val="00123EB4"/>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80B8-6FA5-42B1-AE81-43C3CDB2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SXS.dotm</Template>
  <TotalTime>1</TotalTime>
  <Pages>1</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HB1173-SAA</vt:lpstr>
    </vt:vector>
  </TitlesOfParts>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HB1173-SAA</dc:title>
  <dc:subject/>
  <dc:creator>RNS</dc:creator>
  <cp:keywords/>
  <dc:description/>
  <cp:lastModifiedBy>Greg Tingle</cp:lastModifiedBy>
  <cp:revision>4</cp:revision>
  <dcterms:created xsi:type="dcterms:W3CDTF">2011-05-24T15:18:00Z</dcterms:created>
  <dcterms:modified xsi:type="dcterms:W3CDTF">2011-05-25T02:08:00Z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11.144.59</vt:lpwstr>
  </property>
  <property fmtid="{D5CDD505-2E9C-101B-9397-08002B2CF9AE}" pid="3" name="CCRF">
    <vt:lpwstr> </vt:lpwstr>
  </property>
</Properties>
</file>