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89R4419 SCR-F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Morales of Maverick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2152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reliability plan for electric transmission service in the Permian Basin.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39.167(a), Utilities Code, as added by Chapter 892 (H.B. 5066), Acts of the 88th Legislature, Regular Session, 2023,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rPr>
          <w:u w:val="single"/>
        </w:rPr>
        <w:t xml:space="preserve">The</w:t>
      </w:r>
      <w:r>
        <w:t xml:space="preserve"> [</w:t>
      </w:r>
      <w:r>
        <w:rPr>
          <w:strike/>
        </w:rPr>
        <w:t xml:space="preserve">Not later than January 30, 2024, the</w:t>
      </w:r>
      <w:r>
        <w:t xml:space="preserve">] commission shall direct the independent organization certified under Section 39.151 for the ERCOT power region to develop a reliability plan under Section 39.166 for the Permian Basin region </w:t>
      </w:r>
      <w:r>
        <w:rPr>
          <w:u w:val="single"/>
        </w:rPr>
        <w:t xml:space="preserve">and update the plan every five years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39.167(c), Utilities Code, as added by Chapter 892 (H.B. 5066), Acts of the 88th Legislature, Regular Session, 2023,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2152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