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89R2676 AMF-F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Paxton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941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screening for the risk of commercial sexual exploitation of certain children.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266.012(a), Family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Not later than the 45th day after the date a child enters the conservatorship of the department, the child shall receive a developmentally appropriate comprehensive assessment. </w:t>
      </w:r>
      <w:r>
        <w:t xml:space="preserve"> </w:t>
      </w:r>
      <w:r>
        <w:t xml:space="preserve">The assessment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screening for trauma; [</w:t>
      </w:r>
      <w:r>
        <w:rPr>
          <w:strike/>
        </w:rPr>
        <w:t xml:space="preserve">and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rPr>
          <w:u w:val="single"/>
        </w:rPr>
        <w:t xml:space="preserve">a screening for risk of commercial sexual exploitation using a validated screening tool selected by the Child Sex Trafficking Prevention Unit established under Section 772.0062, Government Code;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 xml:space="preserve">
        <w:t> </w:t>
      </w:r>
      <w:r xml:space="preserve">
        <w:t> </w:t>
      </w:r>
      <w:r>
        <w:t xml:space="preserve">interviews with individuals who have knowledge of the child's needs.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221.003(b), Human Resources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juvenile probation department must, before the disposition of a child's case and using a validated risk and needs assessment instrument or process provided or approved by the department, complete a risk and needs assessment for each child under the jurisdiction of the juvenile probation department. </w:t>
      </w:r>
      <w:r>
        <w:t xml:space="preserve"> </w:t>
      </w:r>
      <w:r>
        <w:rPr>
          <w:u w:val="single"/>
        </w:rPr>
        <w:t xml:space="preserve">The risk and needs assessment must include a screening for risk of commercial sexual exploitation using a screening tool selected by the Child Sex Trafficking Prevention Unit established under Section 772.0062, Government Code.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941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