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89R8907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Meyer</w:t>
      </w:r>
      <w:r xml:space="preserve">
        <w:tab wTab="150" tlc="none" cTlc="0"/>
      </w:r>
      <w:r>
        <w:t xml:space="preserve">H.J.R.</w:t>
      </w:r>
      <w:r xml:space="preserve">
        <w:t> </w:t>
      </w:r>
      <w:r>
        <w:t xml:space="preserve">No.</w:t>
      </w:r>
      <w:r xml:space="preserve">
        <w:t> </w:t>
      </w:r>
      <w:r>
        <w:t xml:space="preserve">120</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protecting children by allowing for retroactive laws regarding civil causes of action arising out of child sexual abuse.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16, Article I, Texas Constitution, is amended to read as follows:</w:t>
      </w:r>
    </w:p>
    <w:p w:rsidR="003F3435" w:rsidRDefault="0032493E">
      <w:pPr>
        <w:spacing w:line="480" w:lineRule="auto"/>
        <w:ind w:firstLine="720"/>
        <w:jc w:val="both"/>
      </w:pPr>
      <w:r>
        <w:t xml:space="preserve">Sec.</w:t>
      </w:r>
      <w:r xml:space="preserve">
        <w:t> </w:t>
      </w:r>
      <w:r>
        <w:t xml:space="preserve">16.</w:t>
      </w:r>
      <w:r xml:space="preserve">
        <w:t> </w:t>
      </w:r>
      <w:r xml:space="preserve">
        <w:t> </w:t>
      </w:r>
      <w:r>
        <w:rPr>
          <w:u w:val="single"/>
        </w:rPr>
        <w:t xml:space="preserve">(a)</w:t>
      </w:r>
      <w:r>
        <w:rPr>
          <w:u w:val="single"/>
        </w:rPr>
        <w:t xml:space="preserve"> </w:t>
      </w:r>
      <w:r>
        <w:rPr>
          <w:u w:val="single"/>
        </w:rPr>
        <w:t xml:space="preserve"> </w:t>
      </w:r>
      <w:r>
        <w:rPr>
          <w:u w:val="single"/>
        </w:rPr>
        <w:t xml:space="preserve">Except as provided by Subsection (b), no</w:t>
      </w:r>
      <w:r>
        <w:t xml:space="preserve"> [</w:t>
      </w:r>
      <w:r>
        <w:rPr>
          <w:strike/>
        </w:rPr>
        <w:t xml:space="preserve">No</w:t>
      </w:r>
      <w:r>
        <w:t xml:space="preserve">] bill of attainder, ex post facto law, retroactive law, or any law impairing the obligation of contracts, shall be made.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Retroactive laws may be made as to a civil cause of action arising out of child sexual abuse.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provide for voting for or against the proposition:  "The constitutional amendment protecting children by allowing retroactive laws regarding civil causes of action arising out of child sexual abuse."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