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89R5630 SCR-D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Simmons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1883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coverage of medically necessary health care and treatment under the state employees group benefits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E, Chapter 1551, Insurance Code, is amended by adding Section 1551.2255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1551.2255.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COVERAGE OF MEDICALLY NECESSARY HEALTH CARE AND TREATMENT.  (a)  The board of trustees shall develop a plan for providing coverage under the group benefits program of any health care or treatment deemed medically necessary by a participant's treating physician or health care provider.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may adopt rules as necessary to implement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changes in law made by this Act apply only to a plan year that commences on or after January 1, 2026.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1883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