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88R12457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H.B.</w:t>
      </w:r>
      <w:r xml:space="preserve">
        <w:t> </w:t>
      </w:r>
      <w:r>
        <w:t xml:space="preserve">No.</w:t>
      </w:r>
      <w:r xml:space="preserve">
        <w:t> </w:t>
      </w:r>
      <w:r>
        <w:t xml:space="preserve">2724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a public institution of higher education from partnering with certain private entities for the construction of a student housing facility.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51.9273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51.9273.</w:t>
      </w:r>
      <w:r>
        <w:rPr>
          <w:u w:val="single"/>
        </w:rPr>
        <w:t xml:space="preserve"> </w:t>
      </w:r>
      <w:r>
        <w:rPr>
          <w:u w:val="single"/>
        </w:rPr>
        <w:t xml:space="preserve"> </w:t>
      </w:r>
      <w:r>
        <w:rPr>
          <w:u w:val="single"/>
        </w:rPr>
        <w:t xml:space="preserve">CERTAIN PARTNERSHIPS TO CONSTRUCT STUDENT HOUSING FACILITIES PROHIBITED.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not enter into a contract to partner with a private entity to construct a student housing facility if the entity has a pending action or lien against the entity or entity's property relating to a claim for nonpayment of a contractor, subcontractor, or vendor.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51.9273, Education Code, as added by this Act, applies only to a contract entered into on or after the effective date of this Act.  A contract entered into before the effective date of this Act is governed by the law in effect on the date the contract was entered into,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